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color w:val="2F5496" w:themeColor="accent1" w:themeShade="BF"/>
          <w:sz w:val="32"/>
          <w:szCs w:val="32"/>
        </w:rPr>
        <w:id w:val="1632058096"/>
        <w:docPartObj>
          <w:docPartGallery w:val="Cover Pages"/>
          <w:docPartUnique/>
        </w:docPartObj>
      </w:sdtPr>
      <w:sdtEndPr>
        <w:rPr>
          <w:rFonts w:asciiTheme="minorHAnsi" w:eastAsia="Times New Roman" w:hAnsiTheme="minorHAnsi" w:cs="Times New Roman"/>
          <w:b w:val="0"/>
          <w:bCs w:val="0"/>
          <w:color w:val="auto"/>
          <w:sz w:val="20"/>
          <w:szCs w:val="24"/>
        </w:rPr>
      </w:sdtEndPr>
      <w:sdtContent>
        <w:p w14:paraId="200C1CF0" w14:textId="77777777" w:rsidR="009C54C3" w:rsidRDefault="009C54C3" w:rsidP="009C54C3">
          <w:pPr>
            <w:jc w:val="center"/>
            <w:rPr>
              <w:color w:val="2F5496" w:themeColor="accent1" w:themeShade="BF"/>
              <w:sz w:val="36"/>
              <w:szCs w:val="36"/>
            </w:rPr>
          </w:pPr>
          <w:r>
            <w:rPr>
              <w:noProof/>
            </w:rPr>
            <w:drawing>
              <wp:anchor distT="0" distB="0" distL="114300" distR="114300" simplePos="0" relativeHeight="251670528" behindDoc="0" locked="0" layoutInCell="1" allowOverlap="1" wp14:anchorId="26027C2D" wp14:editId="48629487">
                <wp:simplePos x="0" y="0"/>
                <wp:positionH relativeFrom="column">
                  <wp:posOffset>0</wp:posOffset>
                </wp:positionH>
                <wp:positionV relativeFrom="paragraph">
                  <wp:posOffset>241300</wp:posOffset>
                </wp:positionV>
                <wp:extent cx="5497586" cy="1004935"/>
                <wp:effectExtent l="0" t="0" r="1905" b="0"/>
                <wp:wrapSquare wrapText="bothSides"/>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1">
                          <a:extLst>
                            <a:ext uri="{96DAC541-7B7A-43D3-8B79-37D633B846F1}">
                              <asvg:svgBlip xmlns:asvg="http://schemas.microsoft.com/office/drawing/2016/SVG/main" r:embed="rId12"/>
                            </a:ext>
                          </a:extLst>
                        </a:blip>
                        <a:stretch>
                          <a:fillRect/>
                        </a:stretch>
                      </pic:blipFill>
                      <pic:spPr>
                        <a:xfrm>
                          <a:off x="0" y="0"/>
                          <a:ext cx="5497586" cy="1004935"/>
                        </a:xfrm>
                        <a:prstGeom prst="rect">
                          <a:avLst/>
                        </a:prstGeom>
                      </pic:spPr>
                    </pic:pic>
                  </a:graphicData>
                </a:graphic>
                <wp14:sizeRelH relativeFrom="page">
                  <wp14:pctWidth>0</wp14:pctWidth>
                </wp14:sizeRelH>
                <wp14:sizeRelV relativeFrom="page">
                  <wp14:pctHeight>0</wp14:pctHeight>
                </wp14:sizeRelV>
              </wp:anchor>
            </w:drawing>
          </w:r>
          <w:r w:rsidRPr="009C54C3">
            <w:rPr>
              <w:color w:val="2F5496" w:themeColor="accent1" w:themeShade="BF"/>
              <w:sz w:val="36"/>
              <w:szCs w:val="36"/>
            </w:rPr>
            <w:t xml:space="preserve"> </w:t>
          </w:r>
        </w:p>
        <w:p w14:paraId="375A1A19" w14:textId="77777777" w:rsidR="009C54C3" w:rsidRDefault="009C54C3" w:rsidP="009C54C3">
          <w:pPr>
            <w:jc w:val="center"/>
            <w:rPr>
              <w:color w:val="2F5496" w:themeColor="accent1" w:themeShade="BF"/>
              <w:sz w:val="36"/>
              <w:szCs w:val="36"/>
            </w:rPr>
          </w:pPr>
        </w:p>
        <w:p w14:paraId="45D4E722" w14:textId="77777777" w:rsidR="009C54C3" w:rsidRDefault="009C54C3" w:rsidP="009C54C3">
          <w:pPr>
            <w:jc w:val="center"/>
            <w:rPr>
              <w:color w:val="2F5496" w:themeColor="accent1" w:themeShade="BF"/>
              <w:sz w:val="36"/>
              <w:szCs w:val="36"/>
            </w:rPr>
          </w:pPr>
        </w:p>
        <w:p w14:paraId="766D3024" w14:textId="77777777" w:rsidR="009C54C3" w:rsidRDefault="009C54C3" w:rsidP="009C54C3">
          <w:pPr>
            <w:jc w:val="center"/>
            <w:rPr>
              <w:color w:val="2F5496" w:themeColor="accent1" w:themeShade="BF"/>
              <w:sz w:val="36"/>
              <w:szCs w:val="36"/>
            </w:rPr>
          </w:pPr>
        </w:p>
        <w:p w14:paraId="143F7949" w14:textId="77777777" w:rsidR="009C54C3" w:rsidRDefault="009C54C3" w:rsidP="009C54C3">
          <w:pPr>
            <w:jc w:val="center"/>
            <w:rPr>
              <w:color w:val="2F5496" w:themeColor="accent1" w:themeShade="BF"/>
              <w:sz w:val="36"/>
              <w:szCs w:val="36"/>
            </w:rPr>
          </w:pPr>
        </w:p>
        <w:p w14:paraId="35EBF65E" w14:textId="77777777" w:rsidR="009C54C3" w:rsidRPr="00204958" w:rsidRDefault="009C54C3" w:rsidP="009C54C3">
          <w:pPr>
            <w:jc w:val="center"/>
            <w:rPr>
              <w:color w:val="2F5496" w:themeColor="accent1" w:themeShade="BF"/>
            </w:rPr>
          </w:pPr>
          <w:r w:rsidRPr="00204958">
            <w:rPr>
              <w:color w:val="2F5496" w:themeColor="accent1" w:themeShade="BF"/>
              <w:sz w:val="36"/>
              <w:szCs w:val="36"/>
            </w:rPr>
            <w:t>Managed Service Procurement</w:t>
          </w:r>
        </w:p>
        <w:p w14:paraId="38575003" w14:textId="77777777" w:rsidR="009C54C3" w:rsidRPr="00204958" w:rsidRDefault="009C54C3" w:rsidP="009C54C3">
          <w:pPr>
            <w:jc w:val="center"/>
            <w:rPr>
              <w:color w:val="808080" w:themeColor="background1" w:themeShade="80"/>
              <w:sz w:val="24"/>
            </w:rPr>
          </w:pPr>
          <w:r w:rsidRPr="00204958">
            <w:rPr>
              <w:color w:val="808080" w:themeColor="background1" w:themeShade="80"/>
              <w:sz w:val="24"/>
            </w:rPr>
            <w:t>INVITATION TO TENDER</w:t>
          </w:r>
        </w:p>
        <w:p w14:paraId="08A55118" w14:textId="382E7169" w:rsidR="009C54C3" w:rsidRPr="00204958" w:rsidRDefault="009C54C3" w:rsidP="009C54C3">
          <w:pPr>
            <w:jc w:val="center"/>
            <w:rPr>
              <w:color w:val="808080" w:themeColor="background1" w:themeShade="80"/>
              <w:sz w:val="28"/>
              <w:szCs w:val="28"/>
            </w:rPr>
          </w:pPr>
          <w:r w:rsidRPr="00204958">
            <w:rPr>
              <w:color w:val="808080" w:themeColor="background1" w:themeShade="80"/>
              <w:sz w:val="28"/>
              <w:szCs w:val="28"/>
            </w:rPr>
            <w:t xml:space="preserve">Volume </w:t>
          </w:r>
          <w:r>
            <w:rPr>
              <w:color w:val="808080" w:themeColor="background1" w:themeShade="80"/>
              <w:sz w:val="28"/>
              <w:szCs w:val="28"/>
            </w:rPr>
            <w:t>1</w:t>
          </w:r>
        </w:p>
        <w:p w14:paraId="4924BC91" w14:textId="57C442BA" w:rsidR="009C54C3" w:rsidRPr="006C4B03" w:rsidRDefault="009C54C3" w:rsidP="009C54C3">
          <w:pPr>
            <w:jc w:val="center"/>
          </w:pPr>
          <w:r>
            <w:rPr>
              <w:color w:val="808080" w:themeColor="background1" w:themeShade="80"/>
              <w:sz w:val="24"/>
            </w:rPr>
            <w:t>Instructions and Guidance for Tenderers</w:t>
          </w:r>
        </w:p>
        <w:p w14:paraId="01590AD4" w14:textId="2162DF05" w:rsidR="00BA6C95" w:rsidRDefault="00BA6C95" w:rsidP="009C54C3">
          <w:pPr>
            <w:jc w:val="center"/>
          </w:pPr>
        </w:p>
        <w:p w14:paraId="01E9E869" w14:textId="77777777" w:rsidR="00955DB4" w:rsidRDefault="00955DB4" w:rsidP="00955DB4">
          <w:pPr>
            <w:ind w:left="567"/>
            <w:jc w:val="both"/>
            <w:rPr>
              <w:rFonts w:cstheme="minorHAnsi"/>
              <w:b/>
            </w:rPr>
          </w:pPr>
        </w:p>
        <w:p w14:paraId="542BB36A" w14:textId="133C0DCB" w:rsidR="00BA6C95" w:rsidRPr="004B4E70" w:rsidRDefault="00F2552D" w:rsidP="00955DB4">
          <w:pPr>
            <w:ind w:left="567"/>
            <w:jc w:val="both"/>
            <w:rPr>
              <w:rFonts w:cstheme="minorHAnsi"/>
              <w:b/>
            </w:rPr>
          </w:pPr>
        </w:p>
      </w:sdtContent>
    </w:sdt>
    <w:bookmarkStart w:id="0" w:name="_Toc44515825"/>
    <w:p w14:paraId="0255FE00" w14:textId="58EA2CF8" w:rsidR="00F2552D" w:rsidRDefault="0055590F">
      <w:pPr>
        <w:pStyle w:val="TOC1"/>
        <w:tabs>
          <w:tab w:val="left" w:pos="454"/>
          <w:tab w:val="right" w:leader="dot" w:pos="9294"/>
        </w:tabs>
        <w:rPr>
          <w:rFonts w:eastAsiaTheme="minorEastAsia" w:cstheme="minorBidi"/>
          <w:bCs w:val="0"/>
          <w:noProof/>
          <w:sz w:val="24"/>
          <w:szCs w:val="24"/>
        </w:rPr>
      </w:pPr>
      <w:r>
        <w:rPr>
          <w:b/>
        </w:rPr>
        <w:fldChar w:fldCharType="begin"/>
      </w:r>
      <w:r>
        <w:rPr>
          <w:b/>
        </w:rPr>
        <w:instrText xml:space="preserve"> TOC \h \z \t "Heading 2,2,Heading 3,3,Level 1,1" </w:instrText>
      </w:r>
      <w:r>
        <w:rPr>
          <w:b/>
        </w:rPr>
        <w:fldChar w:fldCharType="separate"/>
      </w:r>
      <w:hyperlink w:anchor="_Toc118472348" w:history="1">
        <w:r w:rsidR="00F2552D" w:rsidRPr="001F1F0E">
          <w:rPr>
            <w:rStyle w:val="Hyperlink"/>
            <w:noProof/>
          </w:rPr>
          <w:t>1.</w:t>
        </w:r>
        <w:r w:rsidR="00F2552D">
          <w:rPr>
            <w:rFonts w:eastAsiaTheme="minorEastAsia" w:cstheme="minorBidi"/>
            <w:bCs w:val="0"/>
            <w:noProof/>
            <w:sz w:val="24"/>
            <w:szCs w:val="24"/>
          </w:rPr>
          <w:tab/>
        </w:r>
        <w:r w:rsidR="00F2552D" w:rsidRPr="001F1F0E">
          <w:rPr>
            <w:rStyle w:val="Hyperlink"/>
            <w:noProof/>
          </w:rPr>
          <w:t>Background &amp; Summary Table</w:t>
        </w:r>
        <w:r w:rsidR="00F2552D">
          <w:rPr>
            <w:noProof/>
            <w:webHidden/>
          </w:rPr>
          <w:tab/>
        </w:r>
        <w:r w:rsidR="00F2552D">
          <w:rPr>
            <w:noProof/>
            <w:webHidden/>
          </w:rPr>
          <w:fldChar w:fldCharType="begin"/>
        </w:r>
        <w:r w:rsidR="00F2552D">
          <w:rPr>
            <w:noProof/>
            <w:webHidden/>
          </w:rPr>
          <w:instrText xml:space="preserve"> PAGEREF _Toc118472348 \h </w:instrText>
        </w:r>
        <w:r w:rsidR="00F2552D">
          <w:rPr>
            <w:noProof/>
            <w:webHidden/>
          </w:rPr>
        </w:r>
        <w:r w:rsidR="00F2552D">
          <w:rPr>
            <w:noProof/>
            <w:webHidden/>
          </w:rPr>
          <w:fldChar w:fldCharType="separate"/>
        </w:r>
        <w:r w:rsidR="00F2552D">
          <w:rPr>
            <w:noProof/>
            <w:webHidden/>
          </w:rPr>
          <w:t>1</w:t>
        </w:r>
        <w:r w:rsidR="00F2552D">
          <w:rPr>
            <w:noProof/>
            <w:webHidden/>
          </w:rPr>
          <w:fldChar w:fldCharType="end"/>
        </w:r>
      </w:hyperlink>
    </w:p>
    <w:p w14:paraId="37FE08B0" w14:textId="0CA58F9C" w:rsidR="00F2552D" w:rsidRDefault="00F2552D">
      <w:pPr>
        <w:pStyle w:val="TOC1"/>
        <w:tabs>
          <w:tab w:val="left" w:pos="454"/>
          <w:tab w:val="right" w:leader="dot" w:pos="9294"/>
        </w:tabs>
        <w:rPr>
          <w:rFonts w:eastAsiaTheme="minorEastAsia" w:cstheme="minorBidi"/>
          <w:bCs w:val="0"/>
          <w:noProof/>
          <w:sz w:val="24"/>
          <w:szCs w:val="24"/>
        </w:rPr>
      </w:pPr>
      <w:hyperlink w:anchor="_Toc118472349" w:history="1">
        <w:r w:rsidRPr="001F1F0E">
          <w:rPr>
            <w:rStyle w:val="Hyperlink"/>
            <w:noProof/>
          </w:rPr>
          <w:t>2.</w:t>
        </w:r>
        <w:r>
          <w:rPr>
            <w:rFonts w:eastAsiaTheme="minorEastAsia" w:cstheme="minorBidi"/>
            <w:bCs w:val="0"/>
            <w:noProof/>
            <w:sz w:val="24"/>
            <w:szCs w:val="24"/>
          </w:rPr>
          <w:tab/>
        </w:r>
        <w:r w:rsidRPr="001F1F0E">
          <w:rPr>
            <w:rStyle w:val="Hyperlink"/>
            <w:noProof/>
          </w:rPr>
          <w:t>Procurement Timetable</w:t>
        </w:r>
        <w:r>
          <w:rPr>
            <w:noProof/>
            <w:webHidden/>
          </w:rPr>
          <w:tab/>
        </w:r>
        <w:r>
          <w:rPr>
            <w:noProof/>
            <w:webHidden/>
          </w:rPr>
          <w:fldChar w:fldCharType="begin"/>
        </w:r>
        <w:r>
          <w:rPr>
            <w:noProof/>
            <w:webHidden/>
          </w:rPr>
          <w:instrText xml:space="preserve"> PAGEREF _Toc118472349 \h </w:instrText>
        </w:r>
        <w:r>
          <w:rPr>
            <w:noProof/>
            <w:webHidden/>
          </w:rPr>
        </w:r>
        <w:r>
          <w:rPr>
            <w:noProof/>
            <w:webHidden/>
          </w:rPr>
          <w:fldChar w:fldCharType="separate"/>
        </w:r>
        <w:r>
          <w:rPr>
            <w:noProof/>
            <w:webHidden/>
          </w:rPr>
          <w:t>1</w:t>
        </w:r>
        <w:r>
          <w:rPr>
            <w:noProof/>
            <w:webHidden/>
          </w:rPr>
          <w:fldChar w:fldCharType="end"/>
        </w:r>
      </w:hyperlink>
    </w:p>
    <w:p w14:paraId="27A014BE" w14:textId="0623FFD7" w:rsidR="00F2552D" w:rsidRDefault="00F2552D">
      <w:pPr>
        <w:pStyle w:val="TOC1"/>
        <w:tabs>
          <w:tab w:val="left" w:pos="454"/>
          <w:tab w:val="right" w:leader="dot" w:pos="9294"/>
        </w:tabs>
        <w:rPr>
          <w:rFonts w:eastAsiaTheme="minorEastAsia" w:cstheme="minorBidi"/>
          <w:bCs w:val="0"/>
          <w:noProof/>
          <w:sz w:val="24"/>
          <w:szCs w:val="24"/>
        </w:rPr>
      </w:pPr>
      <w:hyperlink w:anchor="_Toc118472350" w:history="1">
        <w:r w:rsidRPr="001F1F0E">
          <w:rPr>
            <w:rStyle w:val="Hyperlink"/>
            <w:noProof/>
          </w:rPr>
          <w:t>3.</w:t>
        </w:r>
        <w:r>
          <w:rPr>
            <w:rFonts w:eastAsiaTheme="minorEastAsia" w:cstheme="minorBidi"/>
            <w:bCs w:val="0"/>
            <w:noProof/>
            <w:sz w:val="24"/>
            <w:szCs w:val="24"/>
          </w:rPr>
          <w:tab/>
        </w:r>
        <w:r w:rsidRPr="001F1F0E">
          <w:rPr>
            <w:rStyle w:val="Hyperlink"/>
            <w:noProof/>
          </w:rPr>
          <w:t>Structure of Tender Documentation</w:t>
        </w:r>
        <w:r>
          <w:rPr>
            <w:noProof/>
            <w:webHidden/>
          </w:rPr>
          <w:tab/>
        </w:r>
        <w:r>
          <w:rPr>
            <w:noProof/>
            <w:webHidden/>
          </w:rPr>
          <w:fldChar w:fldCharType="begin"/>
        </w:r>
        <w:r>
          <w:rPr>
            <w:noProof/>
            <w:webHidden/>
          </w:rPr>
          <w:instrText xml:space="preserve"> PAGEREF _Toc118472350 \h </w:instrText>
        </w:r>
        <w:r>
          <w:rPr>
            <w:noProof/>
            <w:webHidden/>
          </w:rPr>
        </w:r>
        <w:r>
          <w:rPr>
            <w:noProof/>
            <w:webHidden/>
          </w:rPr>
          <w:fldChar w:fldCharType="separate"/>
        </w:r>
        <w:r>
          <w:rPr>
            <w:noProof/>
            <w:webHidden/>
          </w:rPr>
          <w:t>2</w:t>
        </w:r>
        <w:r>
          <w:rPr>
            <w:noProof/>
            <w:webHidden/>
          </w:rPr>
          <w:fldChar w:fldCharType="end"/>
        </w:r>
      </w:hyperlink>
    </w:p>
    <w:p w14:paraId="43488E78" w14:textId="3C804C73" w:rsidR="00F2552D" w:rsidRDefault="00F2552D">
      <w:pPr>
        <w:pStyle w:val="TOC1"/>
        <w:tabs>
          <w:tab w:val="left" w:pos="454"/>
          <w:tab w:val="right" w:leader="dot" w:pos="9294"/>
        </w:tabs>
        <w:rPr>
          <w:rFonts w:eastAsiaTheme="minorEastAsia" w:cstheme="minorBidi"/>
          <w:bCs w:val="0"/>
          <w:noProof/>
          <w:sz w:val="24"/>
          <w:szCs w:val="24"/>
        </w:rPr>
      </w:pPr>
      <w:hyperlink w:anchor="_Toc118472351" w:history="1">
        <w:r w:rsidRPr="001F1F0E">
          <w:rPr>
            <w:rStyle w:val="Hyperlink"/>
            <w:noProof/>
          </w:rPr>
          <w:t>4.</w:t>
        </w:r>
        <w:r>
          <w:rPr>
            <w:rFonts w:eastAsiaTheme="minorEastAsia" w:cstheme="minorBidi"/>
            <w:bCs w:val="0"/>
            <w:noProof/>
            <w:sz w:val="24"/>
            <w:szCs w:val="24"/>
          </w:rPr>
          <w:tab/>
        </w:r>
        <w:r w:rsidRPr="001F1F0E">
          <w:rPr>
            <w:rStyle w:val="Hyperlink"/>
            <w:noProof/>
          </w:rPr>
          <w:t>Important Notices</w:t>
        </w:r>
        <w:r>
          <w:rPr>
            <w:noProof/>
            <w:webHidden/>
          </w:rPr>
          <w:tab/>
        </w:r>
        <w:r>
          <w:rPr>
            <w:noProof/>
            <w:webHidden/>
          </w:rPr>
          <w:fldChar w:fldCharType="begin"/>
        </w:r>
        <w:r>
          <w:rPr>
            <w:noProof/>
            <w:webHidden/>
          </w:rPr>
          <w:instrText xml:space="preserve"> PAGEREF _Toc118472351 \h </w:instrText>
        </w:r>
        <w:r>
          <w:rPr>
            <w:noProof/>
            <w:webHidden/>
          </w:rPr>
        </w:r>
        <w:r>
          <w:rPr>
            <w:noProof/>
            <w:webHidden/>
          </w:rPr>
          <w:fldChar w:fldCharType="separate"/>
        </w:r>
        <w:r>
          <w:rPr>
            <w:noProof/>
            <w:webHidden/>
          </w:rPr>
          <w:t>2</w:t>
        </w:r>
        <w:r>
          <w:rPr>
            <w:noProof/>
            <w:webHidden/>
          </w:rPr>
          <w:fldChar w:fldCharType="end"/>
        </w:r>
      </w:hyperlink>
    </w:p>
    <w:p w14:paraId="518E7C71" w14:textId="44D0F4C4" w:rsidR="00F2552D" w:rsidRDefault="00F2552D">
      <w:pPr>
        <w:pStyle w:val="TOC1"/>
        <w:tabs>
          <w:tab w:val="left" w:pos="454"/>
          <w:tab w:val="right" w:leader="dot" w:pos="9294"/>
        </w:tabs>
        <w:rPr>
          <w:rFonts w:eastAsiaTheme="minorEastAsia" w:cstheme="minorBidi"/>
          <w:bCs w:val="0"/>
          <w:noProof/>
          <w:sz w:val="24"/>
          <w:szCs w:val="24"/>
        </w:rPr>
      </w:pPr>
      <w:hyperlink w:anchor="_Toc118472352" w:history="1">
        <w:r w:rsidRPr="001F1F0E">
          <w:rPr>
            <w:rStyle w:val="Hyperlink"/>
            <w:noProof/>
          </w:rPr>
          <w:t>5.</w:t>
        </w:r>
        <w:r>
          <w:rPr>
            <w:rFonts w:eastAsiaTheme="minorEastAsia" w:cstheme="minorBidi"/>
            <w:bCs w:val="0"/>
            <w:noProof/>
            <w:sz w:val="24"/>
            <w:szCs w:val="24"/>
          </w:rPr>
          <w:tab/>
        </w:r>
        <w:r w:rsidRPr="001F1F0E">
          <w:rPr>
            <w:rStyle w:val="Hyperlink"/>
            <w:noProof/>
          </w:rPr>
          <w:t>Freedom of Information Act 2000</w:t>
        </w:r>
        <w:r>
          <w:rPr>
            <w:noProof/>
            <w:webHidden/>
          </w:rPr>
          <w:tab/>
        </w:r>
        <w:r>
          <w:rPr>
            <w:noProof/>
            <w:webHidden/>
          </w:rPr>
          <w:fldChar w:fldCharType="begin"/>
        </w:r>
        <w:r>
          <w:rPr>
            <w:noProof/>
            <w:webHidden/>
          </w:rPr>
          <w:instrText xml:space="preserve"> PAGEREF _Toc118472352 \h </w:instrText>
        </w:r>
        <w:r>
          <w:rPr>
            <w:noProof/>
            <w:webHidden/>
          </w:rPr>
        </w:r>
        <w:r>
          <w:rPr>
            <w:noProof/>
            <w:webHidden/>
          </w:rPr>
          <w:fldChar w:fldCharType="separate"/>
        </w:r>
        <w:r>
          <w:rPr>
            <w:noProof/>
            <w:webHidden/>
          </w:rPr>
          <w:t>3</w:t>
        </w:r>
        <w:r>
          <w:rPr>
            <w:noProof/>
            <w:webHidden/>
          </w:rPr>
          <w:fldChar w:fldCharType="end"/>
        </w:r>
      </w:hyperlink>
    </w:p>
    <w:p w14:paraId="6248D5A3" w14:textId="743D2CAF" w:rsidR="00F2552D" w:rsidRDefault="00F2552D">
      <w:pPr>
        <w:pStyle w:val="TOC1"/>
        <w:tabs>
          <w:tab w:val="left" w:pos="454"/>
          <w:tab w:val="right" w:leader="dot" w:pos="9294"/>
        </w:tabs>
        <w:rPr>
          <w:rFonts w:eastAsiaTheme="minorEastAsia" w:cstheme="minorBidi"/>
          <w:bCs w:val="0"/>
          <w:noProof/>
          <w:sz w:val="24"/>
          <w:szCs w:val="24"/>
        </w:rPr>
      </w:pPr>
      <w:hyperlink w:anchor="_Toc118472353" w:history="1">
        <w:r w:rsidRPr="001F1F0E">
          <w:rPr>
            <w:rStyle w:val="Hyperlink"/>
            <w:noProof/>
          </w:rPr>
          <w:t>6.</w:t>
        </w:r>
        <w:r>
          <w:rPr>
            <w:rFonts w:eastAsiaTheme="minorEastAsia" w:cstheme="minorBidi"/>
            <w:bCs w:val="0"/>
            <w:noProof/>
            <w:sz w:val="24"/>
            <w:szCs w:val="24"/>
          </w:rPr>
          <w:tab/>
        </w:r>
        <w:r w:rsidRPr="001F1F0E">
          <w:rPr>
            <w:rStyle w:val="Hyperlink"/>
            <w:noProof/>
          </w:rPr>
          <w:t>Consequences of misrepresentation</w:t>
        </w:r>
        <w:r>
          <w:rPr>
            <w:noProof/>
            <w:webHidden/>
          </w:rPr>
          <w:tab/>
        </w:r>
        <w:r>
          <w:rPr>
            <w:noProof/>
            <w:webHidden/>
          </w:rPr>
          <w:fldChar w:fldCharType="begin"/>
        </w:r>
        <w:r>
          <w:rPr>
            <w:noProof/>
            <w:webHidden/>
          </w:rPr>
          <w:instrText xml:space="preserve"> PAGEREF _Toc118472353 \h </w:instrText>
        </w:r>
        <w:r>
          <w:rPr>
            <w:noProof/>
            <w:webHidden/>
          </w:rPr>
        </w:r>
        <w:r>
          <w:rPr>
            <w:noProof/>
            <w:webHidden/>
          </w:rPr>
          <w:fldChar w:fldCharType="separate"/>
        </w:r>
        <w:r>
          <w:rPr>
            <w:noProof/>
            <w:webHidden/>
          </w:rPr>
          <w:t>3</w:t>
        </w:r>
        <w:r>
          <w:rPr>
            <w:noProof/>
            <w:webHidden/>
          </w:rPr>
          <w:fldChar w:fldCharType="end"/>
        </w:r>
      </w:hyperlink>
    </w:p>
    <w:p w14:paraId="1F38BF36" w14:textId="58076BCC" w:rsidR="00F2552D" w:rsidRDefault="00F2552D">
      <w:pPr>
        <w:pStyle w:val="TOC1"/>
        <w:tabs>
          <w:tab w:val="left" w:pos="454"/>
          <w:tab w:val="right" w:leader="dot" w:pos="9294"/>
        </w:tabs>
        <w:rPr>
          <w:rFonts w:eastAsiaTheme="minorEastAsia" w:cstheme="minorBidi"/>
          <w:bCs w:val="0"/>
          <w:noProof/>
          <w:sz w:val="24"/>
          <w:szCs w:val="24"/>
        </w:rPr>
      </w:pPr>
      <w:hyperlink w:anchor="_Toc118472354" w:history="1">
        <w:r w:rsidRPr="001F1F0E">
          <w:rPr>
            <w:rStyle w:val="Hyperlink"/>
            <w:noProof/>
          </w:rPr>
          <w:t>7.</w:t>
        </w:r>
        <w:r>
          <w:rPr>
            <w:rFonts w:eastAsiaTheme="minorEastAsia" w:cstheme="minorBidi"/>
            <w:bCs w:val="0"/>
            <w:noProof/>
            <w:sz w:val="24"/>
            <w:szCs w:val="24"/>
          </w:rPr>
          <w:tab/>
        </w:r>
        <w:r w:rsidRPr="001F1F0E">
          <w:rPr>
            <w:rStyle w:val="Hyperlink"/>
            <w:noProof/>
          </w:rPr>
          <w:t>Tendering Guidance</w:t>
        </w:r>
        <w:r>
          <w:rPr>
            <w:noProof/>
            <w:webHidden/>
          </w:rPr>
          <w:tab/>
        </w:r>
        <w:r>
          <w:rPr>
            <w:noProof/>
            <w:webHidden/>
          </w:rPr>
          <w:fldChar w:fldCharType="begin"/>
        </w:r>
        <w:r>
          <w:rPr>
            <w:noProof/>
            <w:webHidden/>
          </w:rPr>
          <w:instrText xml:space="preserve"> PAGEREF _Toc118472354 \h </w:instrText>
        </w:r>
        <w:r>
          <w:rPr>
            <w:noProof/>
            <w:webHidden/>
          </w:rPr>
        </w:r>
        <w:r>
          <w:rPr>
            <w:noProof/>
            <w:webHidden/>
          </w:rPr>
          <w:fldChar w:fldCharType="separate"/>
        </w:r>
        <w:r>
          <w:rPr>
            <w:noProof/>
            <w:webHidden/>
          </w:rPr>
          <w:t>4</w:t>
        </w:r>
        <w:r>
          <w:rPr>
            <w:noProof/>
            <w:webHidden/>
          </w:rPr>
          <w:fldChar w:fldCharType="end"/>
        </w:r>
      </w:hyperlink>
    </w:p>
    <w:p w14:paraId="5F0C2ACB" w14:textId="6701C5B2" w:rsidR="00F2552D" w:rsidRDefault="00F2552D">
      <w:pPr>
        <w:pStyle w:val="TOC1"/>
        <w:tabs>
          <w:tab w:val="left" w:pos="454"/>
          <w:tab w:val="right" w:leader="dot" w:pos="9294"/>
        </w:tabs>
        <w:rPr>
          <w:rFonts w:eastAsiaTheme="minorEastAsia" w:cstheme="minorBidi"/>
          <w:bCs w:val="0"/>
          <w:noProof/>
          <w:sz w:val="24"/>
          <w:szCs w:val="24"/>
        </w:rPr>
      </w:pPr>
      <w:hyperlink w:anchor="_Toc118472355" w:history="1">
        <w:r w:rsidRPr="001F1F0E">
          <w:rPr>
            <w:rStyle w:val="Hyperlink"/>
            <w:noProof/>
          </w:rPr>
          <w:t>8.</w:t>
        </w:r>
        <w:r>
          <w:rPr>
            <w:rFonts w:eastAsiaTheme="minorEastAsia" w:cstheme="minorBidi"/>
            <w:bCs w:val="0"/>
            <w:noProof/>
            <w:sz w:val="24"/>
            <w:szCs w:val="24"/>
          </w:rPr>
          <w:tab/>
        </w:r>
        <w:r w:rsidRPr="001F1F0E">
          <w:rPr>
            <w:rStyle w:val="Hyperlink"/>
            <w:noProof/>
          </w:rPr>
          <w:t>Social Value</w:t>
        </w:r>
        <w:r>
          <w:rPr>
            <w:noProof/>
            <w:webHidden/>
          </w:rPr>
          <w:tab/>
        </w:r>
        <w:r>
          <w:rPr>
            <w:noProof/>
            <w:webHidden/>
          </w:rPr>
          <w:fldChar w:fldCharType="begin"/>
        </w:r>
        <w:r>
          <w:rPr>
            <w:noProof/>
            <w:webHidden/>
          </w:rPr>
          <w:instrText xml:space="preserve"> PAGEREF _Toc118472355 \h </w:instrText>
        </w:r>
        <w:r>
          <w:rPr>
            <w:noProof/>
            <w:webHidden/>
          </w:rPr>
        </w:r>
        <w:r>
          <w:rPr>
            <w:noProof/>
            <w:webHidden/>
          </w:rPr>
          <w:fldChar w:fldCharType="separate"/>
        </w:r>
        <w:r>
          <w:rPr>
            <w:noProof/>
            <w:webHidden/>
          </w:rPr>
          <w:t>6</w:t>
        </w:r>
        <w:r>
          <w:rPr>
            <w:noProof/>
            <w:webHidden/>
          </w:rPr>
          <w:fldChar w:fldCharType="end"/>
        </w:r>
      </w:hyperlink>
    </w:p>
    <w:p w14:paraId="70D2A614" w14:textId="2E48C646" w:rsidR="00F2552D" w:rsidRDefault="00F2552D">
      <w:pPr>
        <w:pStyle w:val="TOC1"/>
        <w:tabs>
          <w:tab w:val="left" w:pos="454"/>
          <w:tab w:val="right" w:leader="dot" w:pos="9294"/>
        </w:tabs>
        <w:rPr>
          <w:rFonts w:eastAsiaTheme="minorEastAsia" w:cstheme="minorBidi"/>
          <w:bCs w:val="0"/>
          <w:noProof/>
          <w:sz w:val="24"/>
          <w:szCs w:val="24"/>
        </w:rPr>
      </w:pPr>
      <w:hyperlink w:anchor="_Toc118472356" w:history="1">
        <w:r w:rsidRPr="001F1F0E">
          <w:rPr>
            <w:rStyle w:val="Hyperlink"/>
            <w:noProof/>
          </w:rPr>
          <w:t>9.</w:t>
        </w:r>
        <w:r>
          <w:rPr>
            <w:rFonts w:eastAsiaTheme="minorEastAsia" w:cstheme="minorBidi"/>
            <w:bCs w:val="0"/>
            <w:noProof/>
            <w:sz w:val="24"/>
            <w:szCs w:val="24"/>
          </w:rPr>
          <w:tab/>
        </w:r>
        <w:r w:rsidRPr="001F1F0E">
          <w:rPr>
            <w:rStyle w:val="Hyperlink"/>
            <w:noProof/>
          </w:rPr>
          <w:t>Clarifications and queries</w:t>
        </w:r>
        <w:r>
          <w:rPr>
            <w:noProof/>
            <w:webHidden/>
          </w:rPr>
          <w:tab/>
        </w:r>
        <w:r>
          <w:rPr>
            <w:noProof/>
            <w:webHidden/>
          </w:rPr>
          <w:fldChar w:fldCharType="begin"/>
        </w:r>
        <w:r>
          <w:rPr>
            <w:noProof/>
            <w:webHidden/>
          </w:rPr>
          <w:instrText xml:space="preserve"> PAGEREF _Toc118472356 \h </w:instrText>
        </w:r>
        <w:r>
          <w:rPr>
            <w:noProof/>
            <w:webHidden/>
          </w:rPr>
        </w:r>
        <w:r>
          <w:rPr>
            <w:noProof/>
            <w:webHidden/>
          </w:rPr>
          <w:fldChar w:fldCharType="separate"/>
        </w:r>
        <w:r>
          <w:rPr>
            <w:noProof/>
            <w:webHidden/>
          </w:rPr>
          <w:t>6</w:t>
        </w:r>
        <w:r>
          <w:rPr>
            <w:noProof/>
            <w:webHidden/>
          </w:rPr>
          <w:fldChar w:fldCharType="end"/>
        </w:r>
      </w:hyperlink>
    </w:p>
    <w:p w14:paraId="5C3A4287" w14:textId="7918E0A8" w:rsidR="00F2552D" w:rsidRDefault="00F2552D">
      <w:pPr>
        <w:pStyle w:val="TOC1"/>
        <w:tabs>
          <w:tab w:val="left" w:pos="600"/>
          <w:tab w:val="right" w:leader="dot" w:pos="9294"/>
        </w:tabs>
        <w:rPr>
          <w:rFonts w:eastAsiaTheme="minorEastAsia" w:cstheme="minorBidi"/>
          <w:bCs w:val="0"/>
          <w:noProof/>
          <w:sz w:val="24"/>
          <w:szCs w:val="24"/>
        </w:rPr>
      </w:pPr>
      <w:hyperlink w:anchor="_Toc118472357" w:history="1">
        <w:r w:rsidRPr="001F1F0E">
          <w:rPr>
            <w:rStyle w:val="Hyperlink"/>
            <w:noProof/>
          </w:rPr>
          <w:t>10.</w:t>
        </w:r>
        <w:r>
          <w:rPr>
            <w:rFonts w:eastAsiaTheme="minorEastAsia" w:cstheme="minorBidi"/>
            <w:bCs w:val="0"/>
            <w:noProof/>
            <w:sz w:val="24"/>
            <w:szCs w:val="24"/>
          </w:rPr>
          <w:tab/>
        </w:r>
        <w:r w:rsidRPr="001F1F0E">
          <w:rPr>
            <w:rStyle w:val="Hyperlink"/>
            <w:noProof/>
          </w:rPr>
          <w:t>Tender Submissions</w:t>
        </w:r>
        <w:r>
          <w:rPr>
            <w:noProof/>
            <w:webHidden/>
          </w:rPr>
          <w:tab/>
        </w:r>
        <w:r>
          <w:rPr>
            <w:noProof/>
            <w:webHidden/>
          </w:rPr>
          <w:fldChar w:fldCharType="begin"/>
        </w:r>
        <w:r>
          <w:rPr>
            <w:noProof/>
            <w:webHidden/>
          </w:rPr>
          <w:instrText xml:space="preserve"> PAGEREF _Toc118472357 \h </w:instrText>
        </w:r>
        <w:r>
          <w:rPr>
            <w:noProof/>
            <w:webHidden/>
          </w:rPr>
        </w:r>
        <w:r>
          <w:rPr>
            <w:noProof/>
            <w:webHidden/>
          </w:rPr>
          <w:fldChar w:fldCharType="separate"/>
        </w:r>
        <w:r>
          <w:rPr>
            <w:noProof/>
            <w:webHidden/>
          </w:rPr>
          <w:t>6</w:t>
        </w:r>
        <w:r>
          <w:rPr>
            <w:noProof/>
            <w:webHidden/>
          </w:rPr>
          <w:fldChar w:fldCharType="end"/>
        </w:r>
      </w:hyperlink>
    </w:p>
    <w:p w14:paraId="42171939" w14:textId="1AF53FCA" w:rsidR="00F2552D" w:rsidRDefault="00F2552D">
      <w:pPr>
        <w:pStyle w:val="TOC1"/>
        <w:tabs>
          <w:tab w:val="left" w:pos="600"/>
          <w:tab w:val="right" w:leader="dot" w:pos="9294"/>
        </w:tabs>
        <w:rPr>
          <w:rFonts w:eastAsiaTheme="minorEastAsia" w:cstheme="minorBidi"/>
          <w:bCs w:val="0"/>
          <w:noProof/>
          <w:sz w:val="24"/>
          <w:szCs w:val="24"/>
        </w:rPr>
      </w:pPr>
      <w:hyperlink w:anchor="_Toc118472358" w:history="1">
        <w:r w:rsidRPr="001F1F0E">
          <w:rPr>
            <w:rStyle w:val="Hyperlink"/>
            <w:noProof/>
          </w:rPr>
          <w:t>11.</w:t>
        </w:r>
        <w:r>
          <w:rPr>
            <w:rFonts w:eastAsiaTheme="minorEastAsia" w:cstheme="minorBidi"/>
            <w:bCs w:val="0"/>
            <w:noProof/>
            <w:sz w:val="24"/>
            <w:szCs w:val="24"/>
          </w:rPr>
          <w:tab/>
        </w:r>
        <w:r w:rsidRPr="001F1F0E">
          <w:rPr>
            <w:rStyle w:val="Hyperlink"/>
            <w:noProof/>
          </w:rPr>
          <w:t>Evaluation Process</w:t>
        </w:r>
        <w:r>
          <w:rPr>
            <w:noProof/>
            <w:webHidden/>
          </w:rPr>
          <w:tab/>
        </w:r>
        <w:r>
          <w:rPr>
            <w:noProof/>
            <w:webHidden/>
          </w:rPr>
          <w:fldChar w:fldCharType="begin"/>
        </w:r>
        <w:r>
          <w:rPr>
            <w:noProof/>
            <w:webHidden/>
          </w:rPr>
          <w:instrText xml:space="preserve"> PAGEREF _Toc118472358 \h </w:instrText>
        </w:r>
        <w:r>
          <w:rPr>
            <w:noProof/>
            <w:webHidden/>
          </w:rPr>
        </w:r>
        <w:r>
          <w:rPr>
            <w:noProof/>
            <w:webHidden/>
          </w:rPr>
          <w:fldChar w:fldCharType="separate"/>
        </w:r>
        <w:r>
          <w:rPr>
            <w:noProof/>
            <w:webHidden/>
          </w:rPr>
          <w:t>7</w:t>
        </w:r>
        <w:r>
          <w:rPr>
            <w:noProof/>
            <w:webHidden/>
          </w:rPr>
          <w:fldChar w:fldCharType="end"/>
        </w:r>
      </w:hyperlink>
    </w:p>
    <w:p w14:paraId="0B2F73EE" w14:textId="2BD07A47" w:rsidR="00F2552D" w:rsidRDefault="00F2552D">
      <w:pPr>
        <w:pStyle w:val="TOC1"/>
        <w:tabs>
          <w:tab w:val="left" w:pos="600"/>
          <w:tab w:val="right" w:leader="dot" w:pos="9294"/>
        </w:tabs>
        <w:rPr>
          <w:rFonts w:eastAsiaTheme="minorEastAsia" w:cstheme="minorBidi"/>
          <w:bCs w:val="0"/>
          <w:noProof/>
          <w:sz w:val="24"/>
          <w:szCs w:val="24"/>
        </w:rPr>
      </w:pPr>
      <w:hyperlink w:anchor="_Toc118472359" w:history="1">
        <w:r w:rsidRPr="001F1F0E">
          <w:rPr>
            <w:rStyle w:val="Hyperlink"/>
            <w:noProof/>
          </w:rPr>
          <w:t>12.</w:t>
        </w:r>
        <w:r>
          <w:rPr>
            <w:rFonts w:eastAsiaTheme="minorEastAsia" w:cstheme="minorBidi"/>
            <w:bCs w:val="0"/>
            <w:noProof/>
            <w:sz w:val="24"/>
            <w:szCs w:val="24"/>
          </w:rPr>
          <w:tab/>
        </w:r>
        <w:r w:rsidRPr="001F1F0E">
          <w:rPr>
            <w:rStyle w:val="Hyperlink"/>
            <w:noProof/>
          </w:rPr>
          <w:t>Evaluation Criteria</w:t>
        </w:r>
        <w:r>
          <w:rPr>
            <w:noProof/>
            <w:webHidden/>
          </w:rPr>
          <w:tab/>
        </w:r>
        <w:r>
          <w:rPr>
            <w:noProof/>
            <w:webHidden/>
          </w:rPr>
          <w:fldChar w:fldCharType="begin"/>
        </w:r>
        <w:r>
          <w:rPr>
            <w:noProof/>
            <w:webHidden/>
          </w:rPr>
          <w:instrText xml:space="preserve"> PAGEREF _Toc118472359 \h </w:instrText>
        </w:r>
        <w:r>
          <w:rPr>
            <w:noProof/>
            <w:webHidden/>
          </w:rPr>
        </w:r>
        <w:r>
          <w:rPr>
            <w:noProof/>
            <w:webHidden/>
          </w:rPr>
          <w:fldChar w:fldCharType="separate"/>
        </w:r>
        <w:r>
          <w:rPr>
            <w:noProof/>
            <w:webHidden/>
          </w:rPr>
          <w:t>7</w:t>
        </w:r>
        <w:r>
          <w:rPr>
            <w:noProof/>
            <w:webHidden/>
          </w:rPr>
          <w:fldChar w:fldCharType="end"/>
        </w:r>
      </w:hyperlink>
    </w:p>
    <w:p w14:paraId="367F2B3B" w14:textId="01FF2061" w:rsidR="00F2552D" w:rsidRDefault="00F2552D">
      <w:pPr>
        <w:pStyle w:val="TOC1"/>
        <w:tabs>
          <w:tab w:val="left" w:pos="600"/>
          <w:tab w:val="right" w:leader="dot" w:pos="9294"/>
        </w:tabs>
        <w:rPr>
          <w:rFonts w:eastAsiaTheme="minorEastAsia" w:cstheme="minorBidi"/>
          <w:bCs w:val="0"/>
          <w:noProof/>
          <w:sz w:val="24"/>
          <w:szCs w:val="24"/>
        </w:rPr>
      </w:pPr>
      <w:hyperlink w:anchor="_Toc118472360" w:history="1">
        <w:r w:rsidRPr="001F1F0E">
          <w:rPr>
            <w:rStyle w:val="Hyperlink"/>
            <w:noProof/>
          </w:rPr>
          <w:t>13.</w:t>
        </w:r>
        <w:r>
          <w:rPr>
            <w:rFonts w:eastAsiaTheme="minorEastAsia" w:cstheme="minorBidi"/>
            <w:bCs w:val="0"/>
            <w:noProof/>
            <w:sz w:val="24"/>
            <w:szCs w:val="24"/>
          </w:rPr>
          <w:tab/>
        </w:r>
        <w:r w:rsidRPr="001F1F0E">
          <w:rPr>
            <w:rStyle w:val="Hyperlink"/>
            <w:noProof/>
          </w:rPr>
          <w:t>Decision to Award</w:t>
        </w:r>
        <w:r>
          <w:rPr>
            <w:noProof/>
            <w:webHidden/>
          </w:rPr>
          <w:tab/>
        </w:r>
        <w:r>
          <w:rPr>
            <w:noProof/>
            <w:webHidden/>
          </w:rPr>
          <w:fldChar w:fldCharType="begin"/>
        </w:r>
        <w:r>
          <w:rPr>
            <w:noProof/>
            <w:webHidden/>
          </w:rPr>
          <w:instrText xml:space="preserve"> PAGEREF _Toc118472360 \h </w:instrText>
        </w:r>
        <w:r>
          <w:rPr>
            <w:noProof/>
            <w:webHidden/>
          </w:rPr>
        </w:r>
        <w:r>
          <w:rPr>
            <w:noProof/>
            <w:webHidden/>
          </w:rPr>
          <w:fldChar w:fldCharType="separate"/>
        </w:r>
        <w:r>
          <w:rPr>
            <w:noProof/>
            <w:webHidden/>
          </w:rPr>
          <w:t>11</w:t>
        </w:r>
        <w:r>
          <w:rPr>
            <w:noProof/>
            <w:webHidden/>
          </w:rPr>
          <w:fldChar w:fldCharType="end"/>
        </w:r>
      </w:hyperlink>
    </w:p>
    <w:p w14:paraId="47AA51FF" w14:textId="0FECED83" w:rsidR="00F2552D" w:rsidRDefault="00F2552D">
      <w:pPr>
        <w:pStyle w:val="TOC1"/>
        <w:tabs>
          <w:tab w:val="left" w:pos="600"/>
          <w:tab w:val="right" w:leader="dot" w:pos="9294"/>
        </w:tabs>
        <w:rPr>
          <w:rFonts w:eastAsiaTheme="minorEastAsia" w:cstheme="minorBidi"/>
          <w:bCs w:val="0"/>
          <w:noProof/>
          <w:sz w:val="24"/>
          <w:szCs w:val="24"/>
        </w:rPr>
      </w:pPr>
      <w:hyperlink w:anchor="_Toc118472361" w:history="1">
        <w:r w:rsidRPr="001F1F0E">
          <w:rPr>
            <w:rStyle w:val="Hyperlink"/>
            <w:noProof/>
          </w:rPr>
          <w:t>14.</w:t>
        </w:r>
        <w:r>
          <w:rPr>
            <w:rFonts w:eastAsiaTheme="minorEastAsia" w:cstheme="minorBidi"/>
            <w:bCs w:val="0"/>
            <w:noProof/>
            <w:sz w:val="24"/>
            <w:szCs w:val="24"/>
          </w:rPr>
          <w:tab/>
        </w:r>
        <w:r w:rsidRPr="001F1F0E">
          <w:rPr>
            <w:rStyle w:val="Hyperlink"/>
            <w:noProof/>
          </w:rPr>
          <w:t>Service Delivery / Monitor Performance</w:t>
        </w:r>
        <w:r>
          <w:rPr>
            <w:noProof/>
            <w:webHidden/>
          </w:rPr>
          <w:tab/>
        </w:r>
        <w:r>
          <w:rPr>
            <w:noProof/>
            <w:webHidden/>
          </w:rPr>
          <w:fldChar w:fldCharType="begin"/>
        </w:r>
        <w:r>
          <w:rPr>
            <w:noProof/>
            <w:webHidden/>
          </w:rPr>
          <w:instrText xml:space="preserve"> PAGEREF _Toc118472361 \h </w:instrText>
        </w:r>
        <w:r>
          <w:rPr>
            <w:noProof/>
            <w:webHidden/>
          </w:rPr>
        </w:r>
        <w:r>
          <w:rPr>
            <w:noProof/>
            <w:webHidden/>
          </w:rPr>
          <w:fldChar w:fldCharType="separate"/>
        </w:r>
        <w:r>
          <w:rPr>
            <w:noProof/>
            <w:webHidden/>
          </w:rPr>
          <w:t>11</w:t>
        </w:r>
        <w:r>
          <w:rPr>
            <w:noProof/>
            <w:webHidden/>
          </w:rPr>
          <w:fldChar w:fldCharType="end"/>
        </w:r>
      </w:hyperlink>
    </w:p>
    <w:p w14:paraId="6C187C20" w14:textId="6C0F5A2C" w:rsidR="00F2552D" w:rsidRDefault="00F2552D">
      <w:pPr>
        <w:pStyle w:val="TOC1"/>
        <w:tabs>
          <w:tab w:val="left" w:pos="600"/>
          <w:tab w:val="right" w:leader="dot" w:pos="9294"/>
        </w:tabs>
        <w:rPr>
          <w:rFonts w:eastAsiaTheme="minorEastAsia" w:cstheme="minorBidi"/>
          <w:bCs w:val="0"/>
          <w:noProof/>
          <w:sz w:val="24"/>
          <w:szCs w:val="24"/>
        </w:rPr>
      </w:pPr>
      <w:hyperlink w:anchor="_Toc118472362" w:history="1">
        <w:r w:rsidRPr="001F1F0E">
          <w:rPr>
            <w:rStyle w:val="Hyperlink"/>
            <w:noProof/>
          </w:rPr>
          <w:t>15.</w:t>
        </w:r>
        <w:r>
          <w:rPr>
            <w:rFonts w:eastAsiaTheme="minorEastAsia" w:cstheme="minorBidi"/>
            <w:bCs w:val="0"/>
            <w:noProof/>
            <w:sz w:val="24"/>
            <w:szCs w:val="24"/>
          </w:rPr>
          <w:tab/>
        </w:r>
        <w:r w:rsidRPr="001F1F0E">
          <w:rPr>
            <w:rStyle w:val="Hyperlink"/>
            <w:noProof/>
          </w:rPr>
          <w:t>Continuous Improvement</w:t>
        </w:r>
        <w:r>
          <w:rPr>
            <w:noProof/>
            <w:webHidden/>
          </w:rPr>
          <w:tab/>
        </w:r>
        <w:r>
          <w:rPr>
            <w:noProof/>
            <w:webHidden/>
          </w:rPr>
          <w:fldChar w:fldCharType="begin"/>
        </w:r>
        <w:r>
          <w:rPr>
            <w:noProof/>
            <w:webHidden/>
          </w:rPr>
          <w:instrText xml:space="preserve"> PAGEREF _Toc118472362 \h </w:instrText>
        </w:r>
        <w:r>
          <w:rPr>
            <w:noProof/>
            <w:webHidden/>
          </w:rPr>
        </w:r>
        <w:r>
          <w:rPr>
            <w:noProof/>
            <w:webHidden/>
          </w:rPr>
          <w:fldChar w:fldCharType="separate"/>
        </w:r>
        <w:r>
          <w:rPr>
            <w:noProof/>
            <w:webHidden/>
          </w:rPr>
          <w:t>11</w:t>
        </w:r>
        <w:r>
          <w:rPr>
            <w:noProof/>
            <w:webHidden/>
          </w:rPr>
          <w:fldChar w:fldCharType="end"/>
        </w:r>
      </w:hyperlink>
    </w:p>
    <w:p w14:paraId="025EC553" w14:textId="69F8D439" w:rsidR="00F2552D" w:rsidRDefault="00F2552D">
      <w:pPr>
        <w:pStyle w:val="TOC1"/>
        <w:tabs>
          <w:tab w:val="left" w:pos="600"/>
          <w:tab w:val="right" w:leader="dot" w:pos="9294"/>
        </w:tabs>
        <w:rPr>
          <w:rFonts w:eastAsiaTheme="minorEastAsia" w:cstheme="minorBidi"/>
          <w:bCs w:val="0"/>
          <w:noProof/>
          <w:sz w:val="24"/>
          <w:szCs w:val="24"/>
        </w:rPr>
      </w:pPr>
      <w:hyperlink w:anchor="_Toc118472363" w:history="1">
        <w:r w:rsidRPr="001F1F0E">
          <w:rPr>
            <w:rStyle w:val="Hyperlink"/>
            <w:noProof/>
          </w:rPr>
          <w:t>16.</w:t>
        </w:r>
        <w:r>
          <w:rPr>
            <w:rFonts w:eastAsiaTheme="minorEastAsia" w:cstheme="minorBidi"/>
            <w:bCs w:val="0"/>
            <w:noProof/>
            <w:sz w:val="24"/>
            <w:szCs w:val="24"/>
          </w:rPr>
          <w:tab/>
        </w:r>
        <w:r w:rsidRPr="001F1F0E">
          <w:rPr>
            <w:rStyle w:val="Hyperlink"/>
            <w:noProof/>
          </w:rPr>
          <w:t>Procurement Fees</w:t>
        </w:r>
        <w:r>
          <w:rPr>
            <w:noProof/>
            <w:webHidden/>
          </w:rPr>
          <w:tab/>
        </w:r>
        <w:r>
          <w:rPr>
            <w:noProof/>
            <w:webHidden/>
          </w:rPr>
          <w:fldChar w:fldCharType="begin"/>
        </w:r>
        <w:r>
          <w:rPr>
            <w:noProof/>
            <w:webHidden/>
          </w:rPr>
          <w:instrText xml:space="preserve"> PAGEREF _Toc118472363 \h </w:instrText>
        </w:r>
        <w:r>
          <w:rPr>
            <w:noProof/>
            <w:webHidden/>
          </w:rPr>
        </w:r>
        <w:r>
          <w:rPr>
            <w:noProof/>
            <w:webHidden/>
          </w:rPr>
          <w:fldChar w:fldCharType="separate"/>
        </w:r>
        <w:r>
          <w:rPr>
            <w:noProof/>
            <w:webHidden/>
          </w:rPr>
          <w:t>11</w:t>
        </w:r>
        <w:r>
          <w:rPr>
            <w:noProof/>
            <w:webHidden/>
          </w:rPr>
          <w:fldChar w:fldCharType="end"/>
        </w:r>
      </w:hyperlink>
    </w:p>
    <w:p w14:paraId="6C56DD2F" w14:textId="08C4B1A2" w:rsidR="00C12FC1" w:rsidRPr="0099430E" w:rsidRDefault="0055590F" w:rsidP="00955DB4">
      <w:pPr>
        <w:ind w:left="1134"/>
        <w:rPr>
          <w:rFonts w:cstheme="minorHAnsi"/>
          <w:b/>
        </w:rPr>
      </w:pPr>
      <w:r>
        <w:rPr>
          <w:rFonts w:cstheme="minorHAnsi"/>
          <w:b/>
        </w:rPr>
        <w:fldChar w:fldCharType="end"/>
      </w:r>
      <w:r w:rsidR="00071939">
        <w:rPr>
          <w:rFonts w:cstheme="minorHAnsi"/>
          <w:b/>
        </w:rPr>
        <w:br w:type="page"/>
      </w:r>
      <w:bookmarkStart w:id="1" w:name="_Toc86338458"/>
      <w:bookmarkStart w:id="2" w:name="_Toc86338668"/>
    </w:p>
    <w:p w14:paraId="3DA814CC" w14:textId="35B86D57" w:rsidR="00EA13F5" w:rsidRDefault="0043567C" w:rsidP="00AB6AE2">
      <w:pPr>
        <w:pStyle w:val="Level1"/>
      </w:pPr>
      <w:bookmarkStart w:id="3" w:name="_Toc117092795"/>
      <w:bookmarkStart w:id="4" w:name="_Toc118472348"/>
      <w:r w:rsidRPr="009C54C3">
        <w:lastRenderedPageBreak/>
        <w:t>Background &amp; Summary Table</w:t>
      </w:r>
      <w:bookmarkStart w:id="5" w:name="_Toc86338669"/>
      <w:bookmarkEnd w:id="0"/>
      <w:bookmarkEnd w:id="1"/>
      <w:bookmarkEnd w:id="2"/>
      <w:bookmarkEnd w:id="3"/>
      <w:bookmarkEnd w:id="4"/>
    </w:p>
    <w:p w14:paraId="2FA6308E" w14:textId="367CABF3" w:rsidR="0055590F" w:rsidRPr="002C5913" w:rsidRDefault="009C54C3" w:rsidP="002C5913">
      <w:pPr>
        <w:pStyle w:val="Level2"/>
      </w:pPr>
      <w:r w:rsidRPr="002C5913">
        <w:t xml:space="preserve">Bedford College Academies Trust is </w:t>
      </w:r>
      <w:r w:rsidR="002C5913" w:rsidRPr="002C5913">
        <w:t xml:space="preserve">a two-school academy trust based in Bedford. </w:t>
      </w:r>
      <w:r w:rsidR="002C5913" w:rsidRPr="002C5913">
        <w:rPr>
          <w:bdr w:val="none" w:sz="0" w:space="0" w:color="auto" w:frame="1"/>
        </w:rPr>
        <w:t xml:space="preserve">Their ICT service is currently hosted at Bedford College. This service is provisioned via a WAN extension which runs from the secondary school to the college via WAN fibre. The trust wishes to move all ICT services away from the college to either a local or hosted/cloud solution which is fully independent of the college. They currently have an interim managed service in place but are </w:t>
      </w:r>
      <w:r w:rsidRPr="002C5913">
        <w:t>seeking to procure a Managed Service Partne</w:t>
      </w:r>
      <w:r w:rsidR="002C5913" w:rsidRPr="002C5913">
        <w:t>r to help them move away from the college completely.</w:t>
      </w:r>
    </w:p>
    <w:p w14:paraId="33F347B7" w14:textId="77777777" w:rsidR="002C5913" w:rsidRPr="009C54C3" w:rsidRDefault="002C5913" w:rsidP="002C5913">
      <w:pPr>
        <w:shd w:val="clear" w:color="auto" w:fill="FFFFFF"/>
        <w:rPr>
          <w:highlight w:val="yellow"/>
        </w:rPr>
      </w:pPr>
    </w:p>
    <w:p w14:paraId="55E04BA9" w14:textId="436EAA5D" w:rsidR="00FF4E19" w:rsidRDefault="00DC2785" w:rsidP="00AB6AE2">
      <w:pPr>
        <w:pStyle w:val="Level2"/>
      </w:pPr>
      <w:bookmarkStart w:id="6" w:name="_Toc44515828"/>
      <w:bookmarkStart w:id="7" w:name="_Toc86338674"/>
      <w:bookmarkStart w:id="8" w:name="summary_table"/>
      <w:bookmarkEnd w:id="5"/>
      <w:r w:rsidRPr="0099430E">
        <w:t xml:space="preserve">Summary </w:t>
      </w:r>
      <w:r w:rsidR="009C54C3">
        <w:t>t</w:t>
      </w:r>
      <w:r w:rsidRPr="0099430E">
        <w:t>able</w:t>
      </w:r>
      <w:bookmarkEnd w:id="6"/>
      <w:bookmarkEnd w:id="7"/>
      <w:bookmarkEnd w:id="8"/>
    </w:p>
    <w:tbl>
      <w:tblPr>
        <w:tblStyle w:val="TableGrid"/>
        <w:tblW w:w="0" w:type="auto"/>
        <w:tblInd w:w="993" w:type="dxa"/>
        <w:tblLook w:val="04A0" w:firstRow="1" w:lastRow="0" w:firstColumn="1" w:lastColumn="0" w:noHBand="0" w:noVBand="1"/>
      </w:tblPr>
      <w:tblGrid>
        <w:gridCol w:w="2011"/>
        <w:gridCol w:w="6290"/>
      </w:tblGrid>
      <w:tr w:rsidR="0055590F" w:rsidRPr="0055590F" w14:paraId="536DC770" w14:textId="77777777" w:rsidTr="009C54C3">
        <w:tc>
          <w:tcPr>
            <w:tcW w:w="2011" w:type="dxa"/>
            <w:shd w:val="clear" w:color="auto" w:fill="auto"/>
          </w:tcPr>
          <w:p w14:paraId="60B2E280" w14:textId="50C7ED08" w:rsidR="00FF4E19" w:rsidRPr="0055590F" w:rsidRDefault="00FF4E19" w:rsidP="00422389">
            <w:pPr>
              <w:spacing w:line="276" w:lineRule="auto"/>
              <w:rPr>
                <w:b/>
                <w:bCs/>
                <w:color w:val="000000" w:themeColor="text1"/>
              </w:rPr>
            </w:pPr>
            <w:r w:rsidRPr="0055590F">
              <w:rPr>
                <w:rFonts w:eastAsiaTheme="minorHAnsi"/>
                <w:b/>
                <w:bCs/>
                <w:color w:val="000000" w:themeColor="text1"/>
                <w:lang w:eastAsia="en-US"/>
              </w:rPr>
              <w:t>I</w:t>
            </w:r>
            <w:r w:rsidR="0055590F" w:rsidRPr="0055590F">
              <w:rPr>
                <w:rFonts w:eastAsiaTheme="minorHAnsi"/>
                <w:b/>
                <w:bCs/>
                <w:color w:val="000000" w:themeColor="text1"/>
                <w:lang w:eastAsia="en-US"/>
              </w:rPr>
              <w:t>tem</w:t>
            </w:r>
          </w:p>
        </w:tc>
        <w:tc>
          <w:tcPr>
            <w:tcW w:w="6290" w:type="dxa"/>
            <w:shd w:val="clear" w:color="auto" w:fill="auto"/>
          </w:tcPr>
          <w:p w14:paraId="49A82A5B" w14:textId="4E88889B" w:rsidR="00FF4E19" w:rsidRPr="0055590F" w:rsidRDefault="0055590F" w:rsidP="00422389">
            <w:pPr>
              <w:spacing w:line="276" w:lineRule="auto"/>
              <w:rPr>
                <w:b/>
                <w:bCs/>
                <w:color w:val="000000" w:themeColor="text1"/>
              </w:rPr>
            </w:pPr>
            <w:r w:rsidRPr="0055590F">
              <w:rPr>
                <w:rFonts w:cstheme="minorHAnsi"/>
                <w:b/>
                <w:bCs/>
                <w:color w:val="000000" w:themeColor="text1"/>
              </w:rPr>
              <w:t>Framework details</w:t>
            </w:r>
          </w:p>
        </w:tc>
      </w:tr>
      <w:tr w:rsidR="00FF4E19" w14:paraId="4C035D35" w14:textId="77777777" w:rsidTr="009C54C3">
        <w:trPr>
          <w:trHeight w:val="826"/>
        </w:trPr>
        <w:tc>
          <w:tcPr>
            <w:tcW w:w="2011" w:type="dxa"/>
          </w:tcPr>
          <w:p w14:paraId="3589007C" w14:textId="1D0C9CC2" w:rsidR="00FF4E19" w:rsidRDefault="00FF4E19" w:rsidP="00422389">
            <w:pPr>
              <w:spacing w:line="276" w:lineRule="auto"/>
            </w:pPr>
            <w:r w:rsidRPr="0072029E">
              <w:rPr>
                <w:rFonts w:cstheme="minorHAnsi"/>
              </w:rPr>
              <w:t xml:space="preserve">Contract </w:t>
            </w:r>
            <w:r w:rsidR="004B36A0">
              <w:rPr>
                <w:rFonts w:cstheme="minorHAnsi"/>
              </w:rPr>
              <w:t>d</w:t>
            </w:r>
            <w:r w:rsidRPr="0072029E">
              <w:rPr>
                <w:rFonts w:cstheme="minorHAnsi"/>
              </w:rPr>
              <w:t>escription</w:t>
            </w:r>
            <w:r w:rsidR="009C54C3">
              <w:rPr>
                <w:rFonts w:cstheme="minorHAnsi"/>
              </w:rPr>
              <w:t xml:space="preserve"> and procurement method</w:t>
            </w:r>
            <w:r w:rsidRPr="0072029E">
              <w:rPr>
                <w:rFonts w:cstheme="minorHAnsi"/>
              </w:rPr>
              <w:t>:</w:t>
            </w:r>
          </w:p>
        </w:tc>
        <w:tc>
          <w:tcPr>
            <w:tcW w:w="6290" w:type="dxa"/>
          </w:tcPr>
          <w:p w14:paraId="63E464FE" w14:textId="74D64970" w:rsidR="00FF4E19" w:rsidRPr="009C54C3" w:rsidRDefault="009C54C3" w:rsidP="00422389">
            <w:pPr>
              <w:spacing w:line="276" w:lineRule="auto"/>
              <w:rPr>
                <w:rFonts w:cstheme="minorHAnsi"/>
              </w:rPr>
            </w:pPr>
            <w:r w:rsidRPr="0072029E">
              <w:rPr>
                <w:rFonts w:cstheme="minorHAnsi"/>
              </w:rPr>
              <w:t>Th</w:t>
            </w:r>
            <w:r>
              <w:rPr>
                <w:rFonts w:cstheme="minorHAnsi"/>
              </w:rPr>
              <w:t>is</w:t>
            </w:r>
            <w:r w:rsidRPr="0072029E">
              <w:rPr>
                <w:rFonts w:cstheme="minorHAnsi"/>
              </w:rPr>
              <w:t xml:space="preserve"> Invitation to Tender (ITT) </w:t>
            </w:r>
            <w:r>
              <w:rPr>
                <w:rFonts w:cstheme="minorHAnsi"/>
              </w:rPr>
              <w:t xml:space="preserve">is for the </w:t>
            </w:r>
            <w:r>
              <w:rPr>
                <w:rFonts w:cstheme="minorHAnsi"/>
                <w:bCs/>
              </w:rPr>
              <w:t xml:space="preserve">procurement of a Manged Service Partner for Bedford College Academies Trust </w:t>
            </w:r>
            <w:r>
              <w:rPr>
                <w:rFonts w:cstheme="minorHAnsi"/>
              </w:rPr>
              <w:t>and is</w:t>
            </w:r>
            <w:r w:rsidRPr="0072029E">
              <w:rPr>
                <w:rFonts w:cstheme="minorHAnsi"/>
              </w:rPr>
              <w:t xml:space="preserve"> operated according to </w:t>
            </w:r>
            <w:r>
              <w:rPr>
                <w:rFonts w:cstheme="minorHAnsi"/>
              </w:rPr>
              <w:t>UK Government FTS</w:t>
            </w:r>
            <w:r w:rsidRPr="0072029E">
              <w:rPr>
                <w:rFonts w:cstheme="minorHAnsi"/>
              </w:rPr>
              <w:t xml:space="preserve"> </w:t>
            </w:r>
            <w:r>
              <w:rPr>
                <w:rFonts w:cstheme="minorHAnsi"/>
              </w:rPr>
              <w:t>o</w:t>
            </w:r>
            <w:r w:rsidRPr="0072029E">
              <w:rPr>
                <w:rFonts w:cstheme="minorHAnsi"/>
              </w:rPr>
              <w:t xml:space="preserve">pen </w:t>
            </w:r>
            <w:r>
              <w:rPr>
                <w:rFonts w:cstheme="minorHAnsi"/>
              </w:rPr>
              <w:t>p</w:t>
            </w:r>
            <w:r w:rsidRPr="0072029E">
              <w:rPr>
                <w:rFonts w:cstheme="minorHAnsi"/>
              </w:rPr>
              <w:t>rocedure guidelines.</w:t>
            </w:r>
          </w:p>
        </w:tc>
      </w:tr>
      <w:tr w:rsidR="00FF4E19" w14:paraId="41611E51" w14:textId="77777777" w:rsidTr="009C54C3">
        <w:trPr>
          <w:trHeight w:val="400"/>
        </w:trPr>
        <w:tc>
          <w:tcPr>
            <w:tcW w:w="2011" w:type="dxa"/>
          </w:tcPr>
          <w:p w14:paraId="381B9A8A" w14:textId="559AAE42" w:rsidR="00FF4E19" w:rsidRDefault="00FF4E19" w:rsidP="00422389">
            <w:pPr>
              <w:spacing w:line="276" w:lineRule="auto"/>
            </w:pPr>
            <w:r w:rsidRPr="00D62E6D">
              <w:rPr>
                <w:rFonts w:cstheme="minorHAnsi"/>
              </w:rPr>
              <w:t xml:space="preserve">Estimated </w:t>
            </w:r>
            <w:r w:rsidR="004B36A0" w:rsidRPr="00D62E6D">
              <w:rPr>
                <w:rFonts w:cstheme="minorHAnsi"/>
              </w:rPr>
              <w:t>v</w:t>
            </w:r>
            <w:r w:rsidRPr="00D62E6D">
              <w:rPr>
                <w:rFonts w:cstheme="minorHAnsi"/>
              </w:rPr>
              <w:t>alue:</w:t>
            </w:r>
          </w:p>
        </w:tc>
        <w:tc>
          <w:tcPr>
            <w:tcW w:w="6290" w:type="dxa"/>
          </w:tcPr>
          <w:p w14:paraId="16046345" w14:textId="128A6A78" w:rsidR="00FF4E19" w:rsidRDefault="00D62E6D" w:rsidP="00422389">
            <w:pPr>
              <w:spacing w:line="276" w:lineRule="auto"/>
            </w:pPr>
            <w:r>
              <w:t>Between £500k and £750k (over 5 years)</w:t>
            </w:r>
          </w:p>
        </w:tc>
      </w:tr>
      <w:tr w:rsidR="00FF4E19" w14:paraId="0FE45A49" w14:textId="77777777" w:rsidTr="009C54C3">
        <w:trPr>
          <w:trHeight w:val="689"/>
        </w:trPr>
        <w:tc>
          <w:tcPr>
            <w:tcW w:w="2011" w:type="dxa"/>
          </w:tcPr>
          <w:p w14:paraId="78488BDF" w14:textId="2FCAB408" w:rsidR="00FF4E19" w:rsidRDefault="00FF4E19" w:rsidP="00422389">
            <w:pPr>
              <w:spacing w:line="276" w:lineRule="auto"/>
            </w:pPr>
            <w:r w:rsidRPr="0072029E">
              <w:rPr>
                <w:rFonts w:cstheme="minorHAnsi"/>
              </w:rPr>
              <w:t xml:space="preserve">Contract </w:t>
            </w:r>
            <w:r w:rsidR="002E45C9">
              <w:rPr>
                <w:rFonts w:cstheme="minorHAnsi"/>
              </w:rPr>
              <w:t>a</w:t>
            </w:r>
            <w:r w:rsidRPr="0072029E">
              <w:rPr>
                <w:rFonts w:cstheme="minorHAnsi"/>
              </w:rPr>
              <w:t>ward</w:t>
            </w:r>
            <w:r>
              <w:rPr>
                <w:rFonts w:cstheme="minorHAnsi"/>
              </w:rPr>
              <w:t>:</w:t>
            </w:r>
          </w:p>
        </w:tc>
        <w:tc>
          <w:tcPr>
            <w:tcW w:w="6290" w:type="dxa"/>
          </w:tcPr>
          <w:p w14:paraId="122AD2C4" w14:textId="549EFDC9" w:rsidR="00FF4E19" w:rsidRPr="00F10776" w:rsidRDefault="00FF4E19" w:rsidP="00422389">
            <w:pPr>
              <w:spacing w:line="276" w:lineRule="auto"/>
              <w:rPr>
                <w:rFonts w:cstheme="minorHAnsi"/>
              </w:rPr>
            </w:pPr>
            <w:r w:rsidRPr="0072029E">
              <w:rPr>
                <w:rFonts w:cstheme="minorHAnsi"/>
              </w:rPr>
              <w:t xml:space="preserve">Tenders will be evaluated to determine </w:t>
            </w:r>
            <w:r w:rsidR="009C54C3">
              <w:rPr>
                <w:rFonts w:cstheme="minorHAnsi"/>
              </w:rPr>
              <w:t xml:space="preserve">the preferred bidder who offers the most </w:t>
            </w:r>
            <w:r w:rsidR="009C54C3" w:rsidRPr="0099430E">
              <w:rPr>
                <w:b/>
                <w:bCs/>
              </w:rPr>
              <w:t>economically advantageous tender</w:t>
            </w:r>
            <w:r w:rsidR="009C54C3" w:rsidRPr="0067456A">
              <w:t xml:space="preserve"> </w:t>
            </w:r>
            <w:r w:rsidR="009C54C3">
              <w:t xml:space="preserve">as evaluated against the </w:t>
            </w:r>
            <w:r w:rsidR="009C54C3">
              <w:rPr>
                <w:rFonts w:cstheme="minorHAnsi"/>
              </w:rPr>
              <w:t>a</w:t>
            </w:r>
            <w:r>
              <w:rPr>
                <w:rFonts w:cstheme="minorHAnsi"/>
              </w:rPr>
              <w:t xml:space="preserve">ward </w:t>
            </w:r>
            <w:r w:rsidR="009C54C3">
              <w:rPr>
                <w:rFonts w:cstheme="minorHAnsi"/>
              </w:rPr>
              <w:t>c</w:t>
            </w:r>
            <w:r w:rsidRPr="0072029E">
              <w:rPr>
                <w:rFonts w:cstheme="minorHAnsi"/>
              </w:rPr>
              <w:t xml:space="preserve">riteria </w:t>
            </w:r>
            <w:r>
              <w:rPr>
                <w:rFonts w:cstheme="minorHAnsi"/>
              </w:rPr>
              <w:t xml:space="preserve">as </w:t>
            </w:r>
            <w:r w:rsidRPr="0072029E">
              <w:rPr>
                <w:rFonts w:cstheme="minorHAnsi"/>
              </w:rPr>
              <w:t xml:space="preserve">detailed in </w:t>
            </w:r>
            <w:r w:rsidR="00EA13F5" w:rsidRPr="00955DB4">
              <w:rPr>
                <w:rFonts w:cstheme="minorHAnsi"/>
                <w:b/>
                <w:bCs/>
              </w:rPr>
              <w:t>S</w:t>
            </w:r>
            <w:r w:rsidRPr="00955DB4">
              <w:rPr>
                <w:b/>
                <w:bCs/>
              </w:rPr>
              <w:t>ection</w:t>
            </w:r>
            <w:r w:rsidRPr="00955DB4">
              <w:rPr>
                <w:rFonts w:cstheme="minorHAnsi"/>
                <w:b/>
                <w:bCs/>
              </w:rPr>
              <w:t xml:space="preserve"> 1</w:t>
            </w:r>
            <w:r w:rsidR="002E6E18">
              <w:rPr>
                <w:rFonts w:cstheme="minorHAnsi"/>
                <w:b/>
                <w:bCs/>
              </w:rPr>
              <w:t>3</w:t>
            </w:r>
            <w:r w:rsidR="00955DB4" w:rsidRPr="00955DB4">
              <w:rPr>
                <w:rFonts w:cstheme="minorHAnsi"/>
                <w:b/>
                <w:bCs/>
              </w:rPr>
              <w:t>.</w:t>
            </w:r>
          </w:p>
        </w:tc>
      </w:tr>
      <w:tr w:rsidR="00FF4E19" w14:paraId="2FEAF483" w14:textId="77777777" w:rsidTr="009C54C3">
        <w:tc>
          <w:tcPr>
            <w:tcW w:w="2011" w:type="dxa"/>
          </w:tcPr>
          <w:p w14:paraId="46685505" w14:textId="23729C5A" w:rsidR="00FF4E19" w:rsidRDefault="00FF4E19" w:rsidP="00422389">
            <w:pPr>
              <w:spacing w:line="276" w:lineRule="auto"/>
            </w:pPr>
            <w:r w:rsidRPr="62E68EB9">
              <w:rPr>
                <w:rFonts w:cstheme="minorBidi"/>
              </w:rPr>
              <w:t xml:space="preserve">Insurance </w:t>
            </w:r>
            <w:r w:rsidR="002E45C9">
              <w:rPr>
                <w:rFonts w:cstheme="minorBidi"/>
              </w:rPr>
              <w:t>r</w:t>
            </w:r>
            <w:r w:rsidRPr="62E68EB9">
              <w:rPr>
                <w:rFonts w:cstheme="minorBidi"/>
              </w:rPr>
              <w:t>equirements:</w:t>
            </w:r>
          </w:p>
        </w:tc>
        <w:tc>
          <w:tcPr>
            <w:tcW w:w="6290" w:type="dxa"/>
          </w:tcPr>
          <w:p w14:paraId="64ABBCDD" w14:textId="7B06D66A" w:rsidR="00E20C9B" w:rsidRPr="0099430E" w:rsidRDefault="00E20C9B" w:rsidP="00422389">
            <w:pPr>
              <w:spacing w:line="276" w:lineRule="auto"/>
              <w:rPr>
                <w:rFonts w:cstheme="minorHAnsi"/>
                <w:color w:val="000000" w:themeColor="text1"/>
              </w:rPr>
            </w:pPr>
            <w:r w:rsidRPr="0099430E">
              <w:rPr>
                <w:rFonts w:cstheme="minorHAnsi"/>
                <w:color w:val="000000" w:themeColor="text1"/>
              </w:rPr>
              <w:t>Employer’s (Compulsory) Liability Insurance = £</w:t>
            </w:r>
            <w:r w:rsidR="00ED72E1" w:rsidRPr="0099430E">
              <w:rPr>
                <w:rFonts w:cstheme="minorHAnsi"/>
                <w:color w:val="000000" w:themeColor="text1"/>
              </w:rPr>
              <w:t>5</w:t>
            </w:r>
            <w:r w:rsidRPr="0099430E">
              <w:rPr>
                <w:rFonts w:cstheme="minorHAnsi"/>
                <w:color w:val="000000" w:themeColor="text1"/>
              </w:rPr>
              <w:t>,000,000</w:t>
            </w:r>
          </w:p>
          <w:p w14:paraId="2B794553" w14:textId="77777777" w:rsidR="00E20C9B" w:rsidRPr="0099430E" w:rsidRDefault="00E20C9B" w:rsidP="00422389">
            <w:pPr>
              <w:spacing w:line="276" w:lineRule="auto"/>
              <w:rPr>
                <w:rFonts w:cstheme="minorHAnsi"/>
                <w:color w:val="000000" w:themeColor="text1"/>
              </w:rPr>
            </w:pPr>
            <w:r w:rsidRPr="0099430E">
              <w:rPr>
                <w:rFonts w:cstheme="minorHAnsi"/>
                <w:color w:val="000000" w:themeColor="text1"/>
              </w:rPr>
              <w:t>Public Liability Insurance = £5,000,000</w:t>
            </w:r>
          </w:p>
          <w:p w14:paraId="66654F3A" w14:textId="77777777" w:rsidR="00E20C9B" w:rsidRPr="0099430E" w:rsidRDefault="00E20C9B" w:rsidP="00422389">
            <w:pPr>
              <w:spacing w:line="276" w:lineRule="auto"/>
              <w:rPr>
                <w:rFonts w:cstheme="minorHAnsi"/>
                <w:color w:val="000000" w:themeColor="text1"/>
              </w:rPr>
            </w:pPr>
            <w:r w:rsidRPr="0099430E">
              <w:rPr>
                <w:rFonts w:cstheme="minorHAnsi"/>
                <w:color w:val="000000" w:themeColor="text1"/>
              </w:rPr>
              <w:t>Product Liability insurance = £5,000,000</w:t>
            </w:r>
          </w:p>
          <w:p w14:paraId="2B928AFE" w14:textId="765AF2AB" w:rsidR="00FF4E19" w:rsidRPr="0099430E" w:rsidRDefault="00E20C9B" w:rsidP="00422389">
            <w:pPr>
              <w:spacing w:line="276" w:lineRule="auto"/>
              <w:rPr>
                <w:rFonts w:cstheme="minorHAnsi"/>
                <w:color w:val="000000" w:themeColor="text1"/>
              </w:rPr>
            </w:pPr>
            <w:r w:rsidRPr="0099430E">
              <w:rPr>
                <w:rFonts w:cstheme="minorHAnsi"/>
                <w:color w:val="000000" w:themeColor="text1"/>
              </w:rPr>
              <w:t>Professional Indemnity = £</w:t>
            </w:r>
            <w:r w:rsidR="00306C9B" w:rsidRPr="0099430E">
              <w:rPr>
                <w:rFonts w:cstheme="minorHAnsi"/>
                <w:color w:val="000000" w:themeColor="text1"/>
              </w:rPr>
              <w:t>2</w:t>
            </w:r>
            <w:r w:rsidRPr="0099430E">
              <w:rPr>
                <w:rFonts w:cstheme="minorHAnsi"/>
                <w:color w:val="000000" w:themeColor="text1"/>
              </w:rPr>
              <w:t>,000,000</w:t>
            </w:r>
            <w:r w:rsidR="00306C9B" w:rsidRPr="0099430E">
              <w:rPr>
                <w:rFonts w:cstheme="minorHAnsi"/>
                <w:color w:val="000000" w:themeColor="text1"/>
              </w:rPr>
              <w:t xml:space="preserve"> </w:t>
            </w:r>
          </w:p>
        </w:tc>
      </w:tr>
      <w:tr w:rsidR="00FF4E19" w14:paraId="36CB4663" w14:textId="77777777" w:rsidTr="009C54C3">
        <w:trPr>
          <w:trHeight w:val="417"/>
        </w:trPr>
        <w:tc>
          <w:tcPr>
            <w:tcW w:w="2011" w:type="dxa"/>
            <w:vAlign w:val="center"/>
          </w:tcPr>
          <w:p w14:paraId="1CFF4629" w14:textId="10A52EDE" w:rsidR="00FF4E19" w:rsidRPr="0072029E" w:rsidRDefault="00FF4E19" w:rsidP="00422389">
            <w:pPr>
              <w:spacing w:line="276" w:lineRule="auto"/>
              <w:rPr>
                <w:rFonts w:cstheme="minorHAnsi"/>
              </w:rPr>
            </w:pPr>
            <w:r w:rsidRPr="007E358A">
              <w:rPr>
                <w:rFonts w:cstheme="minorHAnsi"/>
              </w:rPr>
              <w:t xml:space="preserve">Contract </w:t>
            </w:r>
            <w:r w:rsidR="002E45C9">
              <w:rPr>
                <w:rFonts w:cstheme="minorHAnsi"/>
              </w:rPr>
              <w:t>p</w:t>
            </w:r>
            <w:r w:rsidRPr="007E358A">
              <w:rPr>
                <w:rFonts w:cstheme="minorHAnsi"/>
              </w:rPr>
              <w:t>eriod:</w:t>
            </w:r>
          </w:p>
        </w:tc>
        <w:tc>
          <w:tcPr>
            <w:tcW w:w="6290" w:type="dxa"/>
            <w:vAlign w:val="center"/>
          </w:tcPr>
          <w:p w14:paraId="305FA1E1" w14:textId="3E67FC2B" w:rsidR="00E41E6B" w:rsidRPr="00D62E6D" w:rsidRDefault="00E41E6B" w:rsidP="00422389">
            <w:pPr>
              <w:spacing w:line="276" w:lineRule="auto"/>
              <w:rPr>
                <w:rFonts w:cstheme="minorHAnsi"/>
                <w:iCs/>
              </w:rPr>
            </w:pPr>
            <w:r w:rsidRPr="00D62E6D">
              <w:rPr>
                <w:rFonts w:cstheme="minorHAnsi"/>
                <w:iCs/>
              </w:rPr>
              <w:t>3 Years (+ 1 + 1)</w:t>
            </w:r>
          </w:p>
          <w:p w14:paraId="0833658B" w14:textId="5013B8E6" w:rsidR="00FF4E19" w:rsidRPr="00A677CD" w:rsidRDefault="002E45C9" w:rsidP="00422389">
            <w:pPr>
              <w:spacing w:line="276" w:lineRule="auto"/>
              <w:rPr>
                <w:rFonts w:cstheme="minorHAnsi"/>
                <w:iCs/>
              </w:rPr>
            </w:pPr>
            <w:r w:rsidRPr="00D62E6D">
              <w:rPr>
                <w:rFonts w:cstheme="minorHAnsi"/>
                <w:iCs/>
              </w:rPr>
              <w:t>January</w:t>
            </w:r>
            <w:r w:rsidR="00F10776" w:rsidRPr="00D62E6D">
              <w:rPr>
                <w:rFonts w:cstheme="minorHAnsi"/>
                <w:iCs/>
              </w:rPr>
              <w:t xml:space="preserve"> </w:t>
            </w:r>
            <w:r w:rsidR="00FF4E19" w:rsidRPr="00D62E6D">
              <w:rPr>
                <w:rFonts w:cstheme="minorHAnsi"/>
                <w:iCs/>
              </w:rPr>
              <w:t>202</w:t>
            </w:r>
            <w:r w:rsidRPr="00D62E6D">
              <w:rPr>
                <w:rFonts w:cstheme="minorHAnsi"/>
                <w:iCs/>
              </w:rPr>
              <w:t>3</w:t>
            </w:r>
            <w:r w:rsidR="00FF4E19" w:rsidRPr="00D62E6D">
              <w:rPr>
                <w:rFonts w:cstheme="minorHAnsi"/>
                <w:iCs/>
              </w:rPr>
              <w:t xml:space="preserve"> – </w:t>
            </w:r>
            <w:r w:rsidRPr="00D62E6D">
              <w:rPr>
                <w:rFonts w:cstheme="minorHAnsi"/>
                <w:iCs/>
              </w:rPr>
              <w:t>December</w:t>
            </w:r>
            <w:r w:rsidR="00F10776" w:rsidRPr="00D62E6D">
              <w:rPr>
                <w:rFonts w:cstheme="minorHAnsi"/>
                <w:iCs/>
              </w:rPr>
              <w:t xml:space="preserve"> </w:t>
            </w:r>
            <w:r w:rsidR="00FF4E19" w:rsidRPr="00D62E6D">
              <w:rPr>
                <w:rFonts w:cstheme="minorHAnsi"/>
                <w:iCs/>
              </w:rPr>
              <w:t>202</w:t>
            </w:r>
            <w:r w:rsidRPr="00D62E6D">
              <w:rPr>
                <w:rFonts w:cstheme="minorHAnsi"/>
                <w:iCs/>
              </w:rPr>
              <w:t>7</w:t>
            </w:r>
            <w:r w:rsidR="00E41E6B" w:rsidRPr="00D62E6D">
              <w:rPr>
                <w:rFonts w:cstheme="minorHAnsi"/>
                <w:iCs/>
              </w:rPr>
              <w:t xml:space="preserve"> (2028)(2029)</w:t>
            </w:r>
          </w:p>
        </w:tc>
      </w:tr>
      <w:tr w:rsidR="00FF4E19" w14:paraId="1547CEB3" w14:textId="77777777" w:rsidTr="009C54C3">
        <w:trPr>
          <w:trHeight w:val="565"/>
        </w:trPr>
        <w:tc>
          <w:tcPr>
            <w:tcW w:w="2011" w:type="dxa"/>
          </w:tcPr>
          <w:p w14:paraId="1B7AD947" w14:textId="6A10A7D6" w:rsidR="00FF4E19" w:rsidRPr="007E358A" w:rsidRDefault="00FF4E19" w:rsidP="00FF4E19">
            <w:pPr>
              <w:rPr>
                <w:rFonts w:cstheme="minorHAnsi"/>
              </w:rPr>
            </w:pPr>
            <w:r w:rsidRPr="0072029E">
              <w:rPr>
                <w:rFonts w:cstheme="minorHAnsi"/>
              </w:rPr>
              <w:t>Queries/</w:t>
            </w:r>
            <w:r w:rsidR="002E45C9">
              <w:rPr>
                <w:rFonts w:cstheme="minorHAnsi"/>
              </w:rPr>
              <w:t>c</w:t>
            </w:r>
            <w:r w:rsidRPr="0072029E">
              <w:rPr>
                <w:rFonts w:cstheme="minorHAnsi"/>
              </w:rPr>
              <w:t>larifications:</w:t>
            </w:r>
          </w:p>
        </w:tc>
        <w:tc>
          <w:tcPr>
            <w:tcW w:w="6290" w:type="dxa"/>
          </w:tcPr>
          <w:p w14:paraId="11B94DC1" w14:textId="67331230" w:rsidR="0099430E" w:rsidRDefault="00FF4E19" w:rsidP="004B36A0">
            <w:pPr>
              <w:rPr>
                <w:rStyle w:val="Hyperlink"/>
              </w:rPr>
            </w:pPr>
            <w:r w:rsidRPr="0072029E">
              <w:rPr>
                <w:rFonts w:cstheme="minorHAnsi"/>
              </w:rPr>
              <w:t xml:space="preserve">Any queries or clarifications must be issued through </w:t>
            </w:r>
            <w:hyperlink r:id="rId13" w:history="1">
              <w:r w:rsidR="002E45C9" w:rsidRPr="006E2893">
                <w:rPr>
                  <w:rStyle w:val="Hyperlink"/>
                </w:rPr>
                <w:t>https://cimple.uk</w:t>
              </w:r>
            </w:hyperlink>
            <w:r w:rsidR="002E45C9">
              <w:t xml:space="preserve">. </w:t>
            </w:r>
          </w:p>
          <w:p w14:paraId="52EE2680" w14:textId="2EA74E61" w:rsidR="0099430E" w:rsidRPr="0099430E" w:rsidRDefault="0099430E" w:rsidP="004B36A0">
            <w:pPr>
              <w:rPr>
                <w:rFonts w:cstheme="minorHAnsi"/>
              </w:rPr>
            </w:pPr>
            <w:r w:rsidRPr="0099430E">
              <w:rPr>
                <w:rStyle w:val="Hyperlink"/>
                <w:color w:val="000000" w:themeColor="text1"/>
                <w:u w:val="none"/>
              </w:rPr>
              <w:t>The deadline for c</w:t>
            </w:r>
            <w:r w:rsidR="00285F44" w:rsidRPr="0099430E">
              <w:rPr>
                <w:rStyle w:val="Hyperlink"/>
                <w:color w:val="000000" w:themeColor="text1"/>
                <w:u w:val="none"/>
              </w:rPr>
              <w:t>larification</w:t>
            </w:r>
            <w:r w:rsidR="00285F44" w:rsidRPr="00285F44">
              <w:rPr>
                <w:rStyle w:val="Hyperlink"/>
                <w:color w:val="000000" w:themeColor="text1"/>
                <w:u w:val="none"/>
              </w:rPr>
              <w:t xml:space="preserve"> </w:t>
            </w:r>
            <w:r>
              <w:rPr>
                <w:rStyle w:val="Hyperlink"/>
                <w:color w:val="000000" w:themeColor="text1"/>
                <w:u w:val="none"/>
              </w:rPr>
              <w:t xml:space="preserve">questions is </w:t>
            </w:r>
            <w:r w:rsidR="005D3878" w:rsidRPr="00BD4D09">
              <w:rPr>
                <w:rFonts w:cstheme="minorHAnsi"/>
                <w:b/>
                <w:bCs/>
                <w:iCs/>
              </w:rPr>
              <w:t xml:space="preserve">Monday </w:t>
            </w:r>
            <w:r w:rsidR="00BD4D09" w:rsidRPr="00BD4D09">
              <w:rPr>
                <w:rFonts w:cstheme="minorHAnsi"/>
                <w:b/>
                <w:bCs/>
                <w:iCs/>
              </w:rPr>
              <w:t>28</w:t>
            </w:r>
            <w:r w:rsidR="005D3878" w:rsidRPr="00BD4D09">
              <w:rPr>
                <w:rFonts w:cstheme="minorHAnsi"/>
                <w:b/>
                <w:bCs/>
                <w:iCs/>
              </w:rPr>
              <w:t xml:space="preserve"> </w:t>
            </w:r>
            <w:r w:rsidR="002E45C9" w:rsidRPr="00BD4D09">
              <w:rPr>
                <w:rFonts w:cstheme="minorHAnsi"/>
                <w:b/>
                <w:bCs/>
                <w:iCs/>
              </w:rPr>
              <w:t>November</w:t>
            </w:r>
            <w:r w:rsidR="005D3878" w:rsidRPr="00BD4D09">
              <w:rPr>
                <w:rFonts w:cstheme="minorHAnsi"/>
                <w:b/>
                <w:bCs/>
                <w:iCs/>
              </w:rPr>
              <w:t xml:space="preserve"> 2022</w:t>
            </w:r>
            <w:r w:rsidRPr="00BD4D09">
              <w:rPr>
                <w:rFonts w:cstheme="minorHAnsi"/>
              </w:rPr>
              <w:t>.</w:t>
            </w:r>
          </w:p>
        </w:tc>
      </w:tr>
      <w:tr w:rsidR="00FF4E19" w14:paraId="6ED56B43" w14:textId="77777777" w:rsidTr="009C54C3">
        <w:trPr>
          <w:trHeight w:val="560"/>
        </w:trPr>
        <w:tc>
          <w:tcPr>
            <w:tcW w:w="2011" w:type="dxa"/>
          </w:tcPr>
          <w:p w14:paraId="396AC041" w14:textId="16E53735" w:rsidR="00FF4E19" w:rsidRPr="0072029E" w:rsidRDefault="00FF4E19" w:rsidP="00FF4E19">
            <w:pPr>
              <w:rPr>
                <w:rFonts w:cstheme="minorHAnsi"/>
              </w:rPr>
            </w:pPr>
            <w:r w:rsidRPr="0072029E">
              <w:rPr>
                <w:rFonts w:cstheme="minorHAnsi"/>
              </w:rPr>
              <w:t>Submission instructions:</w:t>
            </w:r>
          </w:p>
        </w:tc>
        <w:tc>
          <w:tcPr>
            <w:tcW w:w="6290" w:type="dxa"/>
          </w:tcPr>
          <w:p w14:paraId="4F5E46F8" w14:textId="61DF1BFE" w:rsidR="0099430E" w:rsidRPr="0072029E" w:rsidRDefault="00FF4E19" w:rsidP="004B36A0">
            <w:pPr>
              <w:rPr>
                <w:rFonts w:cstheme="minorHAnsi"/>
              </w:rPr>
            </w:pPr>
            <w:r w:rsidRPr="0072029E">
              <w:rPr>
                <w:rFonts w:cstheme="minorHAnsi"/>
              </w:rPr>
              <w:t xml:space="preserve">All responses to the ITT are to be submitted electronically through </w:t>
            </w:r>
            <w:hyperlink r:id="rId14" w:history="1">
              <w:r w:rsidR="002E45C9" w:rsidRPr="006E2893">
                <w:rPr>
                  <w:rStyle w:val="Hyperlink"/>
                </w:rPr>
                <w:t>https://cimple.uk</w:t>
              </w:r>
            </w:hyperlink>
            <w:r w:rsidRPr="0072029E">
              <w:rPr>
                <w:rFonts w:cstheme="minorHAnsi"/>
              </w:rPr>
              <w:t>.</w:t>
            </w:r>
          </w:p>
        </w:tc>
      </w:tr>
      <w:tr w:rsidR="00FF4E19" w14:paraId="1AFAD1DE" w14:textId="77777777" w:rsidTr="009C54C3">
        <w:tc>
          <w:tcPr>
            <w:tcW w:w="2011" w:type="dxa"/>
          </w:tcPr>
          <w:p w14:paraId="384C2659" w14:textId="414E3761" w:rsidR="00FF4E19" w:rsidRPr="005D3878" w:rsidRDefault="00FF4E19" w:rsidP="00FF4E19">
            <w:pPr>
              <w:rPr>
                <w:rFonts w:cstheme="minorHAnsi"/>
              </w:rPr>
            </w:pPr>
            <w:r w:rsidRPr="005D3878">
              <w:rPr>
                <w:rFonts w:cstheme="minorHAnsi"/>
              </w:rPr>
              <w:t>Date</w:t>
            </w:r>
            <w:r w:rsidR="002E45C9">
              <w:rPr>
                <w:rFonts w:cstheme="minorHAnsi"/>
              </w:rPr>
              <w:t xml:space="preserve"> &amp; </w:t>
            </w:r>
            <w:r w:rsidRPr="005D3878">
              <w:rPr>
                <w:rFonts w:cstheme="minorHAnsi"/>
              </w:rPr>
              <w:t>time for ITT return:</w:t>
            </w:r>
          </w:p>
        </w:tc>
        <w:tc>
          <w:tcPr>
            <w:tcW w:w="6290" w:type="dxa"/>
            <w:vAlign w:val="center"/>
          </w:tcPr>
          <w:p w14:paraId="5C67F3A4" w14:textId="009C9A1E" w:rsidR="009347AB" w:rsidRPr="0099430E" w:rsidRDefault="00BD4D09" w:rsidP="00422389">
            <w:pPr>
              <w:rPr>
                <w:rFonts w:cstheme="minorHAnsi"/>
                <w:b/>
                <w:bCs/>
                <w:color w:val="000000" w:themeColor="text1"/>
              </w:rPr>
            </w:pPr>
            <w:r w:rsidRPr="00E41E6B">
              <w:rPr>
                <w:rFonts w:cstheme="minorHAnsi"/>
                <w:color w:val="000000" w:themeColor="text1"/>
                <w:szCs w:val="20"/>
              </w:rPr>
              <w:t>Monday 5 December 12:00</w:t>
            </w:r>
          </w:p>
        </w:tc>
      </w:tr>
    </w:tbl>
    <w:p w14:paraId="254D0A9A" w14:textId="2EF7AEC7" w:rsidR="0043567C" w:rsidRDefault="0043567C" w:rsidP="00A76AB3">
      <w:pPr>
        <w:jc w:val="both"/>
      </w:pPr>
    </w:p>
    <w:p w14:paraId="514C7294" w14:textId="7F6480FF" w:rsidR="00D244E2" w:rsidRPr="00AB181E" w:rsidRDefault="006F0FFA" w:rsidP="00AB6AE2">
      <w:pPr>
        <w:pStyle w:val="Level1"/>
      </w:pPr>
      <w:bookmarkStart w:id="9" w:name="_Scope_of_Framework"/>
      <w:bookmarkStart w:id="10" w:name="_Toc44515835"/>
      <w:bookmarkStart w:id="11" w:name="_Toc86338460"/>
      <w:bookmarkStart w:id="12" w:name="_Toc86338682"/>
      <w:bookmarkStart w:id="13" w:name="timetable"/>
      <w:bookmarkStart w:id="14" w:name="_Toc117092797"/>
      <w:bookmarkStart w:id="15" w:name="_Toc118472349"/>
      <w:bookmarkEnd w:id="9"/>
      <w:r>
        <w:t xml:space="preserve">Procurement </w:t>
      </w:r>
      <w:r w:rsidR="0043567C" w:rsidRPr="002B4BED">
        <w:t>Timetable</w:t>
      </w:r>
      <w:bookmarkEnd w:id="10"/>
      <w:bookmarkEnd w:id="11"/>
      <w:bookmarkEnd w:id="12"/>
      <w:bookmarkEnd w:id="13"/>
      <w:bookmarkEnd w:id="14"/>
      <w:bookmarkEnd w:id="15"/>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394"/>
      </w:tblGrid>
      <w:tr w:rsidR="0099430E" w:rsidRPr="007F48AB" w14:paraId="43E121BE" w14:textId="77777777" w:rsidTr="00996919">
        <w:trPr>
          <w:trHeight w:val="450"/>
          <w:tblHeader/>
        </w:trPr>
        <w:tc>
          <w:tcPr>
            <w:tcW w:w="4394" w:type="dxa"/>
            <w:shd w:val="clear" w:color="auto" w:fill="auto"/>
            <w:vAlign w:val="center"/>
          </w:tcPr>
          <w:p w14:paraId="2C39DEAC" w14:textId="77777777" w:rsidR="00A53260" w:rsidRPr="007F48AB" w:rsidRDefault="00A53260" w:rsidP="007F48AB">
            <w:pPr>
              <w:rPr>
                <w:rFonts w:cstheme="minorHAnsi"/>
                <w:color w:val="000000" w:themeColor="text1"/>
                <w:szCs w:val="20"/>
              </w:rPr>
            </w:pPr>
            <w:r w:rsidRPr="007F48AB">
              <w:rPr>
                <w:rFonts w:cstheme="minorHAnsi"/>
                <w:b/>
                <w:color w:val="000000" w:themeColor="text1"/>
                <w:szCs w:val="20"/>
              </w:rPr>
              <w:br w:type="page"/>
              <w:t>Milestone</w:t>
            </w:r>
          </w:p>
        </w:tc>
        <w:tc>
          <w:tcPr>
            <w:tcW w:w="4394" w:type="dxa"/>
            <w:tcBorders>
              <w:bottom w:val="single" w:sz="4" w:space="0" w:color="auto"/>
            </w:tcBorders>
            <w:shd w:val="clear" w:color="auto" w:fill="auto"/>
            <w:vAlign w:val="center"/>
          </w:tcPr>
          <w:p w14:paraId="43202967" w14:textId="77777777" w:rsidR="00A53260" w:rsidRPr="007F48AB" w:rsidRDefault="00A53260" w:rsidP="007F48AB">
            <w:pPr>
              <w:rPr>
                <w:rFonts w:cstheme="minorHAnsi"/>
                <w:color w:val="000000" w:themeColor="text1"/>
                <w:szCs w:val="20"/>
              </w:rPr>
            </w:pPr>
            <w:r w:rsidRPr="007F48AB">
              <w:rPr>
                <w:rFonts w:cstheme="minorHAnsi"/>
                <w:b/>
                <w:color w:val="000000" w:themeColor="text1"/>
                <w:szCs w:val="20"/>
              </w:rPr>
              <w:t>Stage Start Date(s)/time</w:t>
            </w:r>
          </w:p>
        </w:tc>
      </w:tr>
      <w:tr w:rsidR="0099430E" w:rsidRPr="007F48AB" w14:paraId="27546107" w14:textId="77777777" w:rsidTr="00996919">
        <w:trPr>
          <w:trHeight w:val="400"/>
        </w:trPr>
        <w:tc>
          <w:tcPr>
            <w:tcW w:w="4394" w:type="dxa"/>
            <w:vAlign w:val="center"/>
          </w:tcPr>
          <w:p w14:paraId="2ED8613F" w14:textId="5C87E632" w:rsidR="00A53260" w:rsidRPr="007F48AB" w:rsidRDefault="00A53260" w:rsidP="00CB055D">
            <w:pPr>
              <w:jc w:val="both"/>
              <w:rPr>
                <w:rFonts w:cstheme="minorHAnsi"/>
                <w:color w:val="000000" w:themeColor="text1"/>
                <w:szCs w:val="20"/>
              </w:rPr>
            </w:pPr>
            <w:r w:rsidRPr="007F48AB">
              <w:rPr>
                <w:rFonts w:cstheme="minorHAnsi"/>
                <w:color w:val="000000" w:themeColor="text1"/>
                <w:szCs w:val="20"/>
              </w:rPr>
              <w:t>FTS notice published (Electronic)</w:t>
            </w:r>
            <w:r w:rsidR="007F48AB">
              <w:rPr>
                <w:rFonts w:cstheme="minorHAnsi"/>
                <w:color w:val="000000" w:themeColor="text1"/>
                <w:szCs w:val="20"/>
              </w:rPr>
              <w:t>:</w:t>
            </w:r>
          </w:p>
        </w:tc>
        <w:tc>
          <w:tcPr>
            <w:tcW w:w="4394" w:type="dxa"/>
            <w:shd w:val="clear" w:color="auto" w:fill="auto"/>
            <w:vAlign w:val="center"/>
          </w:tcPr>
          <w:p w14:paraId="3E1784F4" w14:textId="653F9FFC" w:rsidR="00A53260" w:rsidRPr="00996919" w:rsidRDefault="00996919" w:rsidP="00CB055D">
            <w:pPr>
              <w:rPr>
                <w:rFonts w:cstheme="minorHAnsi"/>
                <w:color w:val="000000" w:themeColor="text1"/>
                <w:szCs w:val="20"/>
              </w:rPr>
            </w:pPr>
            <w:r w:rsidRPr="00996919">
              <w:rPr>
                <w:rFonts w:eastAsiaTheme="minorHAnsi" w:cstheme="minorHAnsi"/>
                <w:szCs w:val="20"/>
                <w:lang w:eastAsia="en-US"/>
              </w:rPr>
              <w:t>Friday 4 November 2022</w:t>
            </w:r>
          </w:p>
        </w:tc>
      </w:tr>
      <w:tr w:rsidR="0099430E" w:rsidRPr="007F48AB" w14:paraId="0738670E" w14:textId="77777777" w:rsidTr="00996919">
        <w:trPr>
          <w:trHeight w:val="432"/>
        </w:trPr>
        <w:tc>
          <w:tcPr>
            <w:tcW w:w="4394" w:type="dxa"/>
            <w:vAlign w:val="center"/>
          </w:tcPr>
          <w:p w14:paraId="0C39B141" w14:textId="31CF9337" w:rsidR="00A53260" w:rsidRPr="007F48AB" w:rsidRDefault="00A53260" w:rsidP="00CB055D">
            <w:pPr>
              <w:jc w:val="both"/>
              <w:rPr>
                <w:rFonts w:cstheme="minorHAnsi"/>
                <w:color w:val="000000" w:themeColor="text1"/>
                <w:szCs w:val="20"/>
              </w:rPr>
            </w:pPr>
            <w:r w:rsidRPr="007F48AB">
              <w:rPr>
                <w:rFonts w:cstheme="minorHAnsi"/>
                <w:color w:val="000000" w:themeColor="text1"/>
                <w:szCs w:val="20"/>
              </w:rPr>
              <w:t>Clarification period</w:t>
            </w:r>
            <w:r w:rsidR="007F48AB">
              <w:rPr>
                <w:rFonts w:cstheme="minorHAnsi"/>
                <w:color w:val="000000" w:themeColor="text1"/>
                <w:szCs w:val="20"/>
              </w:rPr>
              <w:t>:</w:t>
            </w:r>
          </w:p>
        </w:tc>
        <w:tc>
          <w:tcPr>
            <w:tcW w:w="4394" w:type="dxa"/>
            <w:shd w:val="clear" w:color="auto" w:fill="auto"/>
            <w:vAlign w:val="center"/>
          </w:tcPr>
          <w:p w14:paraId="1C51BFD1" w14:textId="1B56E8B9" w:rsidR="00A53260" w:rsidRPr="00996919" w:rsidRDefault="00996919" w:rsidP="00CB055D">
            <w:pPr>
              <w:rPr>
                <w:rFonts w:cstheme="minorHAnsi"/>
                <w:color w:val="000000" w:themeColor="text1"/>
                <w:szCs w:val="20"/>
              </w:rPr>
            </w:pPr>
            <w:r>
              <w:rPr>
                <w:rFonts w:cstheme="minorHAnsi"/>
                <w:color w:val="000000" w:themeColor="text1"/>
                <w:szCs w:val="20"/>
              </w:rPr>
              <w:t>Friday 4 November – Monday 28 November</w:t>
            </w:r>
          </w:p>
        </w:tc>
      </w:tr>
      <w:tr w:rsidR="0099430E" w:rsidRPr="007F48AB" w14:paraId="315F19F7" w14:textId="77777777" w:rsidTr="00996919">
        <w:trPr>
          <w:trHeight w:val="410"/>
        </w:trPr>
        <w:tc>
          <w:tcPr>
            <w:tcW w:w="4394" w:type="dxa"/>
            <w:vAlign w:val="center"/>
          </w:tcPr>
          <w:p w14:paraId="19D64B6C" w14:textId="7DE8137C" w:rsidR="00A53260" w:rsidRPr="007F48AB" w:rsidRDefault="00A53260" w:rsidP="00CB055D">
            <w:pPr>
              <w:jc w:val="both"/>
              <w:rPr>
                <w:rFonts w:cstheme="minorHAnsi"/>
                <w:color w:val="000000" w:themeColor="text1"/>
                <w:szCs w:val="20"/>
              </w:rPr>
            </w:pPr>
            <w:r w:rsidRPr="007F48AB">
              <w:rPr>
                <w:rFonts w:cstheme="minorHAnsi"/>
                <w:color w:val="000000" w:themeColor="text1"/>
                <w:szCs w:val="20"/>
              </w:rPr>
              <w:t>Submission of tenders (Deadline</w:t>
            </w:r>
            <w:r w:rsidR="007F48AB">
              <w:rPr>
                <w:rFonts w:cstheme="minorHAnsi"/>
                <w:color w:val="000000" w:themeColor="text1"/>
                <w:szCs w:val="20"/>
              </w:rPr>
              <w:t>):</w:t>
            </w:r>
          </w:p>
        </w:tc>
        <w:tc>
          <w:tcPr>
            <w:tcW w:w="4394" w:type="dxa"/>
            <w:shd w:val="clear" w:color="auto" w:fill="auto"/>
            <w:vAlign w:val="center"/>
          </w:tcPr>
          <w:p w14:paraId="4D181EB6" w14:textId="76C9BAB8" w:rsidR="00A53260" w:rsidRPr="00996919" w:rsidRDefault="00996919" w:rsidP="00CB055D">
            <w:pPr>
              <w:rPr>
                <w:rFonts w:cstheme="minorHAnsi"/>
                <w:color w:val="000000" w:themeColor="text1"/>
                <w:szCs w:val="20"/>
              </w:rPr>
            </w:pPr>
            <w:r>
              <w:rPr>
                <w:rFonts w:cstheme="minorHAnsi"/>
                <w:color w:val="000000" w:themeColor="text1"/>
                <w:szCs w:val="20"/>
              </w:rPr>
              <w:t>Monday 5 December 12:00</w:t>
            </w:r>
          </w:p>
        </w:tc>
      </w:tr>
      <w:tr w:rsidR="0099430E" w:rsidRPr="007F48AB" w14:paraId="5F366786" w14:textId="77777777" w:rsidTr="00996919">
        <w:trPr>
          <w:trHeight w:val="416"/>
        </w:trPr>
        <w:tc>
          <w:tcPr>
            <w:tcW w:w="4394" w:type="dxa"/>
            <w:vAlign w:val="center"/>
          </w:tcPr>
          <w:p w14:paraId="2873D726" w14:textId="4B406851" w:rsidR="00A53260" w:rsidRPr="007F48AB" w:rsidRDefault="00A53260" w:rsidP="00CB055D">
            <w:pPr>
              <w:jc w:val="both"/>
              <w:rPr>
                <w:rFonts w:cstheme="minorHAnsi"/>
                <w:color w:val="000000" w:themeColor="text1"/>
                <w:szCs w:val="20"/>
              </w:rPr>
            </w:pPr>
            <w:r w:rsidRPr="007F48AB">
              <w:rPr>
                <w:rFonts w:cstheme="minorHAnsi"/>
                <w:color w:val="000000" w:themeColor="text1"/>
                <w:szCs w:val="20"/>
              </w:rPr>
              <w:t>ITT period</w:t>
            </w:r>
            <w:r w:rsidR="007F48AB">
              <w:rPr>
                <w:rFonts w:cstheme="minorHAnsi"/>
                <w:color w:val="000000" w:themeColor="text1"/>
                <w:szCs w:val="20"/>
              </w:rPr>
              <w:t>:</w:t>
            </w:r>
          </w:p>
        </w:tc>
        <w:tc>
          <w:tcPr>
            <w:tcW w:w="4394" w:type="dxa"/>
            <w:tcBorders>
              <w:bottom w:val="single" w:sz="4" w:space="0" w:color="auto"/>
            </w:tcBorders>
            <w:shd w:val="clear" w:color="auto" w:fill="auto"/>
            <w:vAlign w:val="center"/>
          </w:tcPr>
          <w:p w14:paraId="7F118C0A" w14:textId="0C41A7BB" w:rsidR="00A53260" w:rsidRPr="00996919" w:rsidRDefault="00996919" w:rsidP="00CB055D">
            <w:pPr>
              <w:rPr>
                <w:rFonts w:cstheme="minorHAnsi"/>
                <w:color w:val="000000" w:themeColor="text1"/>
                <w:szCs w:val="20"/>
              </w:rPr>
            </w:pPr>
            <w:r w:rsidRPr="00996919">
              <w:rPr>
                <w:rFonts w:eastAsiaTheme="minorHAnsi" w:cstheme="minorHAnsi"/>
                <w:szCs w:val="20"/>
                <w:lang w:eastAsia="en-US"/>
              </w:rPr>
              <w:t xml:space="preserve">Friday 4 November </w:t>
            </w:r>
            <w:r>
              <w:rPr>
                <w:rFonts w:eastAsiaTheme="minorHAnsi" w:cstheme="minorHAnsi"/>
                <w:szCs w:val="20"/>
                <w:lang w:eastAsia="en-US"/>
              </w:rPr>
              <w:t xml:space="preserve">- </w:t>
            </w:r>
            <w:r>
              <w:rPr>
                <w:rFonts w:cstheme="minorHAnsi"/>
                <w:color w:val="000000" w:themeColor="text1"/>
                <w:szCs w:val="20"/>
              </w:rPr>
              <w:t>Monday 5 December</w:t>
            </w:r>
          </w:p>
        </w:tc>
      </w:tr>
      <w:tr w:rsidR="0099430E" w:rsidRPr="007F48AB" w14:paraId="5425804D" w14:textId="77777777" w:rsidTr="00996919">
        <w:trPr>
          <w:trHeight w:val="416"/>
        </w:trPr>
        <w:tc>
          <w:tcPr>
            <w:tcW w:w="4394" w:type="dxa"/>
            <w:vAlign w:val="center"/>
          </w:tcPr>
          <w:p w14:paraId="452E5E50" w14:textId="00EED767" w:rsidR="00A53260" w:rsidRPr="007F48AB" w:rsidRDefault="00A53260" w:rsidP="00CB055D">
            <w:pPr>
              <w:jc w:val="both"/>
              <w:rPr>
                <w:rFonts w:cstheme="minorHAnsi"/>
                <w:color w:val="000000" w:themeColor="text1"/>
                <w:szCs w:val="20"/>
              </w:rPr>
            </w:pPr>
            <w:r w:rsidRPr="007F48AB">
              <w:rPr>
                <w:rFonts w:cstheme="minorHAnsi"/>
                <w:color w:val="000000" w:themeColor="text1"/>
                <w:szCs w:val="20"/>
              </w:rPr>
              <w:t>Evaluation period</w:t>
            </w:r>
            <w:r w:rsidR="007F48AB">
              <w:rPr>
                <w:rFonts w:cstheme="minorHAnsi"/>
                <w:color w:val="000000" w:themeColor="text1"/>
                <w:szCs w:val="20"/>
              </w:rPr>
              <w:t>:</w:t>
            </w:r>
          </w:p>
        </w:tc>
        <w:tc>
          <w:tcPr>
            <w:tcW w:w="4394" w:type="dxa"/>
            <w:tcBorders>
              <w:bottom w:val="single" w:sz="4" w:space="0" w:color="auto"/>
            </w:tcBorders>
            <w:shd w:val="clear" w:color="auto" w:fill="auto"/>
            <w:vAlign w:val="center"/>
          </w:tcPr>
          <w:p w14:paraId="1EE50CB7" w14:textId="2CC5828A" w:rsidR="00A53260" w:rsidRPr="00996919" w:rsidRDefault="00996919" w:rsidP="00CB055D">
            <w:pPr>
              <w:rPr>
                <w:rFonts w:cstheme="minorHAnsi"/>
                <w:color w:val="000000" w:themeColor="text1"/>
                <w:szCs w:val="20"/>
              </w:rPr>
            </w:pPr>
            <w:r>
              <w:rPr>
                <w:rFonts w:cstheme="minorHAnsi"/>
                <w:color w:val="000000" w:themeColor="text1"/>
                <w:szCs w:val="20"/>
              </w:rPr>
              <w:t>Monday 5 December – Monday 19 December</w:t>
            </w:r>
          </w:p>
        </w:tc>
      </w:tr>
      <w:tr w:rsidR="007F48AB" w:rsidRPr="007F48AB" w14:paraId="7D02E847" w14:textId="77777777" w:rsidTr="00996919">
        <w:trPr>
          <w:trHeight w:val="406"/>
        </w:trPr>
        <w:tc>
          <w:tcPr>
            <w:tcW w:w="4394" w:type="dxa"/>
            <w:vAlign w:val="center"/>
          </w:tcPr>
          <w:p w14:paraId="2CE6FCEE" w14:textId="71024529" w:rsidR="007F48AB" w:rsidRPr="007F48AB" w:rsidRDefault="00996919" w:rsidP="00CB055D">
            <w:pPr>
              <w:jc w:val="both"/>
              <w:rPr>
                <w:rFonts w:cstheme="minorHAnsi"/>
                <w:color w:val="000000" w:themeColor="text1"/>
                <w:szCs w:val="20"/>
              </w:rPr>
            </w:pPr>
            <w:r>
              <w:rPr>
                <w:rFonts w:eastAsiaTheme="minorHAnsi" w:cstheme="minorHAnsi"/>
                <w:szCs w:val="20"/>
                <w:lang w:eastAsia="en-US"/>
              </w:rPr>
              <w:t>S</w:t>
            </w:r>
            <w:r w:rsidR="007F48AB" w:rsidRPr="007F48AB">
              <w:rPr>
                <w:rFonts w:eastAsiaTheme="minorHAnsi" w:cstheme="minorHAnsi"/>
                <w:szCs w:val="20"/>
                <w:lang w:eastAsia="en-US"/>
              </w:rPr>
              <w:t xml:space="preserve">upplier </w:t>
            </w:r>
            <w:r>
              <w:rPr>
                <w:rFonts w:eastAsiaTheme="minorHAnsi" w:cstheme="minorHAnsi"/>
                <w:szCs w:val="20"/>
                <w:lang w:eastAsia="en-US"/>
              </w:rPr>
              <w:t>presentations</w:t>
            </w:r>
            <w:r w:rsidR="007F48AB">
              <w:rPr>
                <w:rFonts w:cstheme="minorHAnsi"/>
                <w:color w:val="000000" w:themeColor="text1"/>
                <w:szCs w:val="20"/>
              </w:rPr>
              <w:t>:</w:t>
            </w:r>
          </w:p>
        </w:tc>
        <w:tc>
          <w:tcPr>
            <w:tcW w:w="4394" w:type="dxa"/>
            <w:shd w:val="clear" w:color="auto" w:fill="auto"/>
            <w:vAlign w:val="center"/>
          </w:tcPr>
          <w:p w14:paraId="34821240" w14:textId="38B09399" w:rsidR="007F48AB" w:rsidRPr="00996919" w:rsidRDefault="00BD4D09" w:rsidP="00CB055D">
            <w:pPr>
              <w:rPr>
                <w:rFonts w:cstheme="minorHAnsi"/>
                <w:color w:val="000000" w:themeColor="text1"/>
                <w:szCs w:val="20"/>
              </w:rPr>
            </w:pPr>
            <w:r>
              <w:rPr>
                <w:rFonts w:cstheme="minorHAnsi"/>
                <w:color w:val="000000" w:themeColor="text1"/>
                <w:szCs w:val="20"/>
              </w:rPr>
              <w:t>Week commencing 12 December</w:t>
            </w:r>
          </w:p>
        </w:tc>
      </w:tr>
      <w:tr w:rsidR="0099430E" w:rsidRPr="007F48AB" w14:paraId="7866EBD0" w14:textId="77777777" w:rsidTr="00996919">
        <w:trPr>
          <w:trHeight w:val="406"/>
        </w:trPr>
        <w:tc>
          <w:tcPr>
            <w:tcW w:w="4394" w:type="dxa"/>
            <w:vAlign w:val="center"/>
          </w:tcPr>
          <w:p w14:paraId="6B6879D9" w14:textId="7E62CE66" w:rsidR="00114D3C" w:rsidRPr="007F48AB" w:rsidRDefault="00BD4D09" w:rsidP="00CB055D">
            <w:pPr>
              <w:jc w:val="both"/>
              <w:rPr>
                <w:rFonts w:cstheme="minorHAnsi"/>
                <w:color w:val="000000" w:themeColor="text1"/>
                <w:szCs w:val="20"/>
              </w:rPr>
            </w:pPr>
            <w:r>
              <w:rPr>
                <w:rFonts w:cstheme="minorHAnsi"/>
                <w:color w:val="000000" w:themeColor="text1"/>
                <w:szCs w:val="20"/>
              </w:rPr>
              <w:t>Preferred Bidder selected</w:t>
            </w:r>
            <w:r w:rsidR="007F48AB">
              <w:rPr>
                <w:rFonts w:cstheme="minorHAnsi"/>
                <w:color w:val="000000" w:themeColor="text1"/>
                <w:szCs w:val="20"/>
              </w:rPr>
              <w:t>:</w:t>
            </w:r>
          </w:p>
        </w:tc>
        <w:tc>
          <w:tcPr>
            <w:tcW w:w="4394" w:type="dxa"/>
            <w:shd w:val="clear" w:color="auto" w:fill="auto"/>
            <w:vAlign w:val="center"/>
          </w:tcPr>
          <w:p w14:paraId="2217716B" w14:textId="4ED4175C" w:rsidR="00114D3C" w:rsidRPr="00996919" w:rsidRDefault="00BD4D09" w:rsidP="00CB055D">
            <w:pPr>
              <w:rPr>
                <w:rFonts w:cstheme="minorHAnsi"/>
                <w:color w:val="000000" w:themeColor="text1"/>
                <w:szCs w:val="20"/>
              </w:rPr>
            </w:pPr>
            <w:r>
              <w:rPr>
                <w:rFonts w:cstheme="minorHAnsi"/>
                <w:color w:val="000000" w:themeColor="text1"/>
                <w:szCs w:val="20"/>
              </w:rPr>
              <w:t>Monday 19 December</w:t>
            </w:r>
          </w:p>
        </w:tc>
      </w:tr>
      <w:tr w:rsidR="0099430E" w:rsidRPr="007F48AB" w14:paraId="29F93B26" w14:textId="77777777" w:rsidTr="00996919">
        <w:trPr>
          <w:trHeight w:val="428"/>
        </w:trPr>
        <w:tc>
          <w:tcPr>
            <w:tcW w:w="4394" w:type="dxa"/>
            <w:vAlign w:val="center"/>
          </w:tcPr>
          <w:p w14:paraId="3DB7F02D" w14:textId="4A241276" w:rsidR="00A53260" w:rsidRPr="007F48AB" w:rsidRDefault="00A53260" w:rsidP="00CB055D">
            <w:pPr>
              <w:jc w:val="both"/>
              <w:rPr>
                <w:rFonts w:cstheme="minorHAnsi"/>
                <w:color w:val="000000" w:themeColor="text1"/>
                <w:szCs w:val="20"/>
              </w:rPr>
            </w:pPr>
            <w:r w:rsidRPr="007F48AB">
              <w:rPr>
                <w:rFonts w:cstheme="minorHAnsi"/>
                <w:color w:val="000000" w:themeColor="text1"/>
                <w:szCs w:val="20"/>
              </w:rPr>
              <w:t>Standstill period</w:t>
            </w:r>
            <w:r w:rsidR="007F48AB">
              <w:rPr>
                <w:rFonts w:cstheme="minorHAnsi"/>
                <w:color w:val="000000" w:themeColor="text1"/>
                <w:szCs w:val="20"/>
              </w:rPr>
              <w:t>:</w:t>
            </w:r>
          </w:p>
        </w:tc>
        <w:tc>
          <w:tcPr>
            <w:tcW w:w="4394" w:type="dxa"/>
            <w:shd w:val="clear" w:color="auto" w:fill="auto"/>
            <w:vAlign w:val="center"/>
          </w:tcPr>
          <w:p w14:paraId="5485BEE5" w14:textId="360853C7" w:rsidR="00A53260" w:rsidRPr="00996919" w:rsidRDefault="00996919" w:rsidP="00CB055D">
            <w:pPr>
              <w:rPr>
                <w:rFonts w:cstheme="minorHAnsi"/>
                <w:color w:val="000000" w:themeColor="text1"/>
                <w:szCs w:val="20"/>
              </w:rPr>
            </w:pPr>
            <w:r>
              <w:rPr>
                <w:rFonts w:cstheme="minorHAnsi"/>
                <w:color w:val="000000" w:themeColor="text1"/>
                <w:szCs w:val="20"/>
              </w:rPr>
              <w:t>Monday 19 December – Wednesday 28 December</w:t>
            </w:r>
          </w:p>
        </w:tc>
      </w:tr>
      <w:tr w:rsidR="0099430E" w:rsidRPr="007F48AB" w14:paraId="43878EDA" w14:textId="77777777" w:rsidTr="00996919">
        <w:trPr>
          <w:trHeight w:val="426"/>
        </w:trPr>
        <w:tc>
          <w:tcPr>
            <w:tcW w:w="4394" w:type="dxa"/>
            <w:vAlign w:val="center"/>
          </w:tcPr>
          <w:p w14:paraId="2C440842" w14:textId="0B1A3C74" w:rsidR="0040090D" w:rsidRPr="007F48AB" w:rsidRDefault="0040090D" w:rsidP="00CB055D">
            <w:pPr>
              <w:jc w:val="both"/>
              <w:rPr>
                <w:rFonts w:cstheme="minorHAnsi"/>
                <w:color w:val="000000" w:themeColor="text1"/>
                <w:szCs w:val="20"/>
              </w:rPr>
            </w:pPr>
            <w:r w:rsidRPr="007F48AB">
              <w:rPr>
                <w:rFonts w:cstheme="minorHAnsi"/>
                <w:color w:val="000000" w:themeColor="text1"/>
                <w:szCs w:val="20"/>
              </w:rPr>
              <w:lastRenderedPageBreak/>
              <w:t xml:space="preserve">Contract </w:t>
            </w:r>
            <w:r w:rsidR="007F48AB">
              <w:rPr>
                <w:rFonts w:cstheme="minorHAnsi"/>
                <w:color w:val="000000" w:themeColor="text1"/>
                <w:szCs w:val="20"/>
              </w:rPr>
              <w:t>s</w:t>
            </w:r>
            <w:r w:rsidRPr="007F48AB">
              <w:rPr>
                <w:rFonts w:cstheme="minorHAnsi"/>
                <w:color w:val="000000" w:themeColor="text1"/>
                <w:szCs w:val="20"/>
              </w:rPr>
              <w:t>igning</w:t>
            </w:r>
            <w:r w:rsidR="007F48AB">
              <w:rPr>
                <w:rFonts w:cstheme="minorHAnsi"/>
                <w:color w:val="000000" w:themeColor="text1"/>
                <w:szCs w:val="20"/>
              </w:rPr>
              <w:t>:</w:t>
            </w:r>
          </w:p>
        </w:tc>
        <w:tc>
          <w:tcPr>
            <w:tcW w:w="4394" w:type="dxa"/>
            <w:shd w:val="clear" w:color="auto" w:fill="auto"/>
            <w:vAlign w:val="center"/>
          </w:tcPr>
          <w:p w14:paraId="48FD969B" w14:textId="3867CD62" w:rsidR="0040090D" w:rsidRPr="00996919" w:rsidRDefault="00996919" w:rsidP="00CB055D">
            <w:pPr>
              <w:rPr>
                <w:rFonts w:cstheme="minorHAnsi"/>
                <w:color w:val="000000" w:themeColor="text1"/>
                <w:szCs w:val="20"/>
              </w:rPr>
            </w:pPr>
            <w:r>
              <w:rPr>
                <w:rFonts w:cstheme="minorHAnsi"/>
                <w:color w:val="000000" w:themeColor="text1"/>
                <w:szCs w:val="20"/>
              </w:rPr>
              <w:t xml:space="preserve">Wednesday 28 December – Monday 16 January </w:t>
            </w:r>
          </w:p>
        </w:tc>
      </w:tr>
      <w:tr w:rsidR="007F48AB" w:rsidRPr="007F48AB" w14:paraId="6A0C9CC0" w14:textId="77777777" w:rsidTr="00996919">
        <w:trPr>
          <w:trHeight w:val="426"/>
        </w:trPr>
        <w:tc>
          <w:tcPr>
            <w:tcW w:w="4394" w:type="dxa"/>
            <w:vAlign w:val="center"/>
          </w:tcPr>
          <w:p w14:paraId="1DA72166" w14:textId="68BF7315" w:rsidR="007F48AB" w:rsidRPr="007F48AB" w:rsidRDefault="007F48AB" w:rsidP="00CB055D">
            <w:pPr>
              <w:jc w:val="both"/>
              <w:rPr>
                <w:rFonts w:cstheme="minorHAnsi"/>
                <w:color w:val="000000" w:themeColor="text1"/>
                <w:szCs w:val="20"/>
              </w:rPr>
            </w:pPr>
            <w:r w:rsidRPr="007F48AB">
              <w:rPr>
                <w:rFonts w:eastAsiaTheme="minorHAnsi" w:cstheme="minorHAnsi"/>
                <w:szCs w:val="20"/>
                <w:lang w:eastAsia="en-US"/>
              </w:rPr>
              <w:t xml:space="preserve">Commencement of </w:t>
            </w:r>
            <w:r>
              <w:rPr>
                <w:rFonts w:eastAsiaTheme="minorHAnsi" w:cstheme="minorHAnsi"/>
                <w:szCs w:val="20"/>
                <w:lang w:eastAsia="en-US"/>
              </w:rPr>
              <w:t>s</w:t>
            </w:r>
            <w:r w:rsidRPr="007F48AB">
              <w:rPr>
                <w:rFonts w:eastAsiaTheme="minorHAnsi" w:cstheme="minorHAnsi"/>
                <w:szCs w:val="20"/>
                <w:lang w:eastAsia="en-US"/>
              </w:rPr>
              <w:t>ervice</w:t>
            </w:r>
            <w:r>
              <w:rPr>
                <w:rFonts w:cstheme="minorHAnsi"/>
                <w:color w:val="000000" w:themeColor="text1"/>
                <w:szCs w:val="20"/>
              </w:rPr>
              <w:t>:</w:t>
            </w:r>
          </w:p>
        </w:tc>
        <w:tc>
          <w:tcPr>
            <w:tcW w:w="4394" w:type="dxa"/>
            <w:shd w:val="clear" w:color="auto" w:fill="auto"/>
            <w:vAlign w:val="center"/>
          </w:tcPr>
          <w:p w14:paraId="2FB912A2" w14:textId="5AE87D17" w:rsidR="007F48AB" w:rsidRPr="00996919" w:rsidRDefault="00D62E6D" w:rsidP="00CB055D">
            <w:pPr>
              <w:rPr>
                <w:rFonts w:cstheme="minorHAnsi"/>
                <w:color w:val="000000" w:themeColor="text1"/>
                <w:szCs w:val="20"/>
              </w:rPr>
            </w:pPr>
            <w:r>
              <w:rPr>
                <w:rFonts w:cstheme="minorHAnsi"/>
                <w:color w:val="000000" w:themeColor="text1"/>
                <w:szCs w:val="20"/>
              </w:rPr>
              <w:t>January 2023</w:t>
            </w:r>
          </w:p>
        </w:tc>
      </w:tr>
    </w:tbl>
    <w:p w14:paraId="5B4D2425" w14:textId="77777777" w:rsidR="00007C62" w:rsidRPr="0072029E" w:rsidRDefault="00007C62" w:rsidP="00A76AB3">
      <w:pPr>
        <w:jc w:val="both"/>
        <w:rPr>
          <w:rFonts w:cstheme="minorHAnsi"/>
        </w:rPr>
      </w:pPr>
    </w:p>
    <w:p w14:paraId="66AFD814" w14:textId="77777777" w:rsidR="00AB6AE2" w:rsidRPr="0072029E" w:rsidRDefault="00AB6AE2" w:rsidP="00AB6AE2">
      <w:pPr>
        <w:pStyle w:val="Level1"/>
      </w:pPr>
      <w:bookmarkStart w:id="16" w:name="_Toc44515869"/>
      <w:bookmarkStart w:id="17" w:name="_Toc86338465"/>
      <w:bookmarkStart w:id="18" w:name="_Toc86338726"/>
      <w:bookmarkStart w:id="19" w:name="_Toc117092801"/>
      <w:bookmarkStart w:id="20" w:name="_Toc118472350"/>
      <w:r w:rsidRPr="0072029E">
        <w:t>Structure of Tender Documentation</w:t>
      </w:r>
      <w:bookmarkEnd w:id="16"/>
      <w:bookmarkEnd w:id="17"/>
      <w:bookmarkEnd w:id="18"/>
      <w:bookmarkEnd w:id="19"/>
      <w:bookmarkEnd w:id="20"/>
    </w:p>
    <w:p w14:paraId="03015E5F" w14:textId="77777777" w:rsidR="00AB6AE2" w:rsidRPr="00BF1238" w:rsidRDefault="00AB6AE2" w:rsidP="00AB6AE2">
      <w:pPr>
        <w:pStyle w:val="Level2"/>
      </w:pPr>
      <w:bookmarkStart w:id="21" w:name="_Toc44515870"/>
      <w:bookmarkStart w:id="22" w:name="_Toc86338727"/>
      <w:r w:rsidRPr="00164EC8">
        <w:t>The following documents are included within this ITT documentation package:</w:t>
      </w:r>
      <w:bookmarkEnd w:id="21"/>
      <w:bookmarkEnd w:id="22"/>
    </w:p>
    <w:tbl>
      <w:tblPr>
        <w:tblStyle w:val="TableGrid"/>
        <w:tblW w:w="8222" w:type="dxa"/>
        <w:tblInd w:w="1129" w:type="dxa"/>
        <w:tblLook w:val="04A0" w:firstRow="1" w:lastRow="0" w:firstColumn="1" w:lastColumn="0" w:noHBand="0" w:noVBand="1"/>
      </w:tblPr>
      <w:tblGrid>
        <w:gridCol w:w="4536"/>
        <w:gridCol w:w="3686"/>
      </w:tblGrid>
      <w:tr w:rsidR="00AB6AE2" w:rsidRPr="0029557B" w14:paraId="51957405" w14:textId="77777777" w:rsidTr="00F97421">
        <w:tc>
          <w:tcPr>
            <w:tcW w:w="4536" w:type="dxa"/>
            <w:shd w:val="clear" w:color="auto" w:fill="auto"/>
            <w:vAlign w:val="center"/>
          </w:tcPr>
          <w:p w14:paraId="668E1396" w14:textId="77777777" w:rsidR="00AB6AE2" w:rsidRPr="0029557B" w:rsidRDefault="00AB6AE2" w:rsidP="002367AB">
            <w:pPr>
              <w:spacing w:line="276" w:lineRule="auto"/>
              <w:rPr>
                <w:rFonts w:cstheme="minorHAnsi"/>
                <w:b/>
                <w:bCs/>
                <w:color w:val="000000" w:themeColor="text1"/>
                <w:szCs w:val="20"/>
              </w:rPr>
            </w:pPr>
            <w:bookmarkStart w:id="23" w:name="_Toc44515837"/>
            <w:bookmarkStart w:id="24" w:name="_Toc86338461"/>
            <w:bookmarkStart w:id="25" w:name="_Toc86338693"/>
            <w:bookmarkStart w:id="26" w:name="_Toc117092798"/>
            <w:r w:rsidRPr="0029557B">
              <w:rPr>
                <w:rFonts w:cstheme="minorHAnsi"/>
                <w:b/>
                <w:bCs/>
                <w:color w:val="000000" w:themeColor="text1"/>
                <w:szCs w:val="20"/>
              </w:rPr>
              <w:t>File Name</w:t>
            </w:r>
          </w:p>
        </w:tc>
        <w:tc>
          <w:tcPr>
            <w:tcW w:w="3686" w:type="dxa"/>
            <w:shd w:val="clear" w:color="auto" w:fill="auto"/>
            <w:vAlign w:val="center"/>
          </w:tcPr>
          <w:p w14:paraId="739260B8" w14:textId="77777777" w:rsidR="00AB6AE2" w:rsidRPr="0029557B" w:rsidRDefault="00AB6AE2" w:rsidP="002367AB">
            <w:pPr>
              <w:spacing w:line="276" w:lineRule="auto"/>
              <w:rPr>
                <w:rFonts w:cstheme="minorHAnsi"/>
                <w:b/>
                <w:bCs/>
                <w:color w:val="000000" w:themeColor="text1"/>
                <w:szCs w:val="20"/>
              </w:rPr>
            </w:pPr>
            <w:r w:rsidRPr="0029557B">
              <w:rPr>
                <w:rFonts w:cstheme="minorHAnsi"/>
                <w:b/>
                <w:bCs/>
                <w:color w:val="000000" w:themeColor="text1"/>
                <w:szCs w:val="20"/>
              </w:rPr>
              <w:t>Action</w:t>
            </w:r>
          </w:p>
        </w:tc>
      </w:tr>
      <w:tr w:rsidR="00AB6AE2" w:rsidRPr="005E7D2F" w14:paraId="3DBDED9F" w14:textId="77777777" w:rsidTr="00F97421">
        <w:trPr>
          <w:trHeight w:val="526"/>
        </w:trPr>
        <w:tc>
          <w:tcPr>
            <w:tcW w:w="4536" w:type="dxa"/>
          </w:tcPr>
          <w:p w14:paraId="6D90C359" w14:textId="77777777" w:rsidR="00AB6AE2" w:rsidRPr="00F32842" w:rsidRDefault="00AB6AE2" w:rsidP="002367AB">
            <w:pPr>
              <w:spacing w:line="276" w:lineRule="auto"/>
              <w:rPr>
                <w:rFonts w:cstheme="minorHAnsi"/>
                <w:szCs w:val="20"/>
              </w:rPr>
            </w:pPr>
            <w:r>
              <w:rPr>
                <w:rFonts w:cstheme="minorHAnsi"/>
                <w:szCs w:val="20"/>
              </w:rPr>
              <w:t>BCAT</w:t>
            </w:r>
            <w:r w:rsidRPr="00E35E7F">
              <w:rPr>
                <w:rFonts w:cstheme="minorHAnsi"/>
                <w:szCs w:val="20"/>
              </w:rPr>
              <w:t xml:space="preserve"> ITT Vol 1 Instruction and Guidance for tenderers</w:t>
            </w:r>
            <w:r>
              <w:rPr>
                <w:rFonts w:cstheme="minorHAnsi"/>
                <w:szCs w:val="20"/>
              </w:rPr>
              <w:t xml:space="preserve"> </w:t>
            </w:r>
            <w:r w:rsidRPr="00F32842">
              <w:rPr>
                <w:rFonts w:cstheme="minorHAnsi"/>
                <w:szCs w:val="20"/>
              </w:rPr>
              <w:t>- Final.docx</w:t>
            </w:r>
          </w:p>
        </w:tc>
        <w:tc>
          <w:tcPr>
            <w:tcW w:w="3686" w:type="dxa"/>
          </w:tcPr>
          <w:p w14:paraId="65A31DDF" w14:textId="77777777" w:rsidR="00AB6AE2" w:rsidRPr="00F32842" w:rsidRDefault="00AB6AE2" w:rsidP="002367AB">
            <w:pPr>
              <w:spacing w:line="276" w:lineRule="auto"/>
              <w:rPr>
                <w:rFonts w:cstheme="minorHAnsi"/>
                <w:szCs w:val="20"/>
              </w:rPr>
            </w:pPr>
            <w:r w:rsidRPr="00F32842">
              <w:rPr>
                <w:rFonts w:cstheme="minorHAnsi"/>
                <w:szCs w:val="20"/>
              </w:rPr>
              <w:t>For information.</w:t>
            </w:r>
          </w:p>
        </w:tc>
      </w:tr>
      <w:tr w:rsidR="00AB6AE2" w:rsidRPr="005E7D2F" w14:paraId="2CC766D5" w14:textId="77777777" w:rsidTr="00F97421">
        <w:trPr>
          <w:trHeight w:val="67"/>
        </w:trPr>
        <w:tc>
          <w:tcPr>
            <w:tcW w:w="4536" w:type="dxa"/>
            <w:vAlign w:val="center"/>
          </w:tcPr>
          <w:p w14:paraId="3A51BF09" w14:textId="77777777" w:rsidR="00AB6AE2" w:rsidRPr="00F32842" w:rsidRDefault="00AB6AE2" w:rsidP="002367AB">
            <w:pPr>
              <w:spacing w:line="276" w:lineRule="auto"/>
              <w:rPr>
                <w:rFonts w:cstheme="minorHAnsi"/>
                <w:szCs w:val="20"/>
              </w:rPr>
            </w:pPr>
            <w:r>
              <w:rPr>
                <w:rFonts w:cstheme="minorHAnsi"/>
                <w:szCs w:val="20"/>
              </w:rPr>
              <w:t>BCAT</w:t>
            </w:r>
            <w:r w:rsidRPr="00E35E7F">
              <w:rPr>
                <w:rFonts w:cstheme="minorHAnsi"/>
                <w:szCs w:val="20"/>
              </w:rPr>
              <w:t xml:space="preserve"> ITT Vol 2 Selection Questionnaire</w:t>
            </w:r>
            <w:r>
              <w:rPr>
                <w:rFonts w:cstheme="minorHAnsi"/>
                <w:szCs w:val="20"/>
              </w:rPr>
              <w:t xml:space="preserve"> - Final</w:t>
            </w:r>
            <w:r w:rsidRPr="00F32842">
              <w:rPr>
                <w:rFonts w:cstheme="minorHAnsi"/>
                <w:szCs w:val="20"/>
              </w:rPr>
              <w:t>.docx</w:t>
            </w:r>
          </w:p>
        </w:tc>
        <w:tc>
          <w:tcPr>
            <w:tcW w:w="3686" w:type="dxa"/>
          </w:tcPr>
          <w:p w14:paraId="6D1A80AD" w14:textId="77777777" w:rsidR="00AB6AE2" w:rsidRPr="00F32842" w:rsidRDefault="00AB6AE2" w:rsidP="002367AB">
            <w:pPr>
              <w:spacing w:line="276" w:lineRule="auto"/>
              <w:rPr>
                <w:rFonts w:cstheme="minorHAnsi"/>
                <w:szCs w:val="20"/>
              </w:rPr>
            </w:pPr>
            <w:r w:rsidRPr="00F32842">
              <w:rPr>
                <w:rFonts w:cstheme="minorHAnsi"/>
                <w:szCs w:val="20"/>
              </w:rPr>
              <w:t>To be completed by all tenderers and returned.</w:t>
            </w:r>
          </w:p>
        </w:tc>
      </w:tr>
      <w:tr w:rsidR="00AB6AE2" w:rsidRPr="005E7D2F" w14:paraId="6F3D842C" w14:textId="77777777" w:rsidTr="00F97421">
        <w:tc>
          <w:tcPr>
            <w:tcW w:w="4536" w:type="dxa"/>
          </w:tcPr>
          <w:p w14:paraId="78C0C820" w14:textId="77777777" w:rsidR="00AB6AE2" w:rsidRPr="00F32842" w:rsidRDefault="00AB6AE2" w:rsidP="002367AB">
            <w:pPr>
              <w:spacing w:line="276" w:lineRule="auto"/>
              <w:rPr>
                <w:rFonts w:cstheme="minorHAnsi"/>
                <w:szCs w:val="20"/>
              </w:rPr>
            </w:pPr>
            <w:r>
              <w:rPr>
                <w:rFonts w:cstheme="minorHAnsi"/>
                <w:szCs w:val="20"/>
              </w:rPr>
              <w:t>BCAT</w:t>
            </w:r>
            <w:r w:rsidRPr="00E35E7F">
              <w:rPr>
                <w:rFonts w:cstheme="minorHAnsi"/>
                <w:szCs w:val="20"/>
              </w:rPr>
              <w:t xml:space="preserve"> ITT Vol 3 Award Questionnaire</w:t>
            </w:r>
            <w:r>
              <w:rPr>
                <w:rFonts w:cstheme="minorHAnsi"/>
                <w:szCs w:val="20"/>
              </w:rPr>
              <w:t xml:space="preserve"> </w:t>
            </w:r>
            <w:r w:rsidRPr="00F32842">
              <w:rPr>
                <w:rFonts w:cstheme="minorHAnsi"/>
                <w:szCs w:val="20"/>
              </w:rPr>
              <w:t>- Final.docx</w:t>
            </w:r>
          </w:p>
        </w:tc>
        <w:tc>
          <w:tcPr>
            <w:tcW w:w="3686" w:type="dxa"/>
          </w:tcPr>
          <w:p w14:paraId="16CA7029" w14:textId="77777777" w:rsidR="00AB6AE2" w:rsidRPr="00F32842" w:rsidRDefault="00AB6AE2" w:rsidP="002367AB">
            <w:pPr>
              <w:spacing w:line="276" w:lineRule="auto"/>
              <w:rPr>
                <w:rFonts w:cstheme="minorHAnsi"/>
                <w:szCs w:val="20"/>
              </w:rPr>
            </w:pPr>
            <w:r w:rsidRPr="00F32842">
              <w:rPr>
                <w:rFonts w:cstheme="minorHAnsi"/>
                <w:szCs w:val="20"/>
              </w:rPr>
              <w:t>To be completed by all tenderers and returned.</w:t>
            </w:r>
          </w:p>
        </w:tc>
      </w:tr>
      <w:tr w:rsidR="00AB6AE2" w:rsidRPr="00281107" w14:paraId="35B52F9D" w14:textId="77777777" w:rsidTr="00F97421">
        <w:trPr>
          <w:trHeight w:val="57"/>
        </w:trPr>
        <w:tc>
          <w:tcPr>
            <w:tcW w:w="4536" w:type="dxa"/>
          </w:tcPr>
          <w:p w14:paraId="402C9460" w14:textId="77777777" w:rsidR="00AB6AE2" w:rsidRPr="00F32842" w:rsidRDefault="00AB6AE2" w:rsidP="002367AB">
            <w:pPr>
              <w:spacing w:line="276" w:lineRule="auto"/>
              <w:rPr>
                <w:rFonts w:cstheme="minorHAnsi"/>
                <w:szCs w:val="20"/>
              </w:rPr>
            </w:pPr>
            <w:r>
              <w:rPr>
                <w:rFonts w:cstheme="minorHAnsi"/>
                <w:szCs w:val="20"/>
              </w:rPr>
              <w:t>BCAT</w:t>
            </w:r>
            <w:r w:rsidRPr="00F32842">
              <w:rPr>
                <w:rFonts w:cstheme="minorHAnsi"/>
                <w:szCs w:val="20"/>
              </w:rPr>
              <w:t xml:space="preserve"> </w:t>
            </w:r>
            <w:r>
              <w:rPr>
                <w:rFonts w:cstheme="minorHAnsi"/>
                <w:szCs w:val="20"/>
              </w:rPr>
              <w:t xml:space="preserve">ITT </w:t>
            </w:r>
            <w:r w:rsidRPr="00F32842">
              <w:rPr>
                <w:rFonts w:cstheme="minorHAnsi"/>
                <w:szCs w:val="20"/>
              </w:rPr>
              <w:t xml:space="preserve">App </w:t>
            </w:r>
            <w:r>
              <w:rPr>
                <w:rFonts w:cstheme="minorHAnsi"/>
                <w:szCs w:val="20"/>
              </w:rPr>
              <w:t>1 Cost</w:t>
            </w:r>
            <w:r w:rsidRPr="00F32842">
              <w:rPr>
                <w:rFonts w:cstheme="minorHAnsi"/>
                <w:szCs w:val="20"/>
              </w:rPr>
              <w:t xml:space="preserve"> Matrix - Final.xlsx</w:t>
            </w:r>
          </w:p>
        </w:tc>
        <w:tc>
          <w:tcPr>
            <w:tcW w:w="3686" w:type="dxa"/>
          </w:tcPr>
          <w:p w14:paraId="0944F69A" w14:textId="24C20C7A" w:rsidR="00AB6AE2" w:rsidRPr="00F32842" w:rsidRDefault="00AB6AE2" w:rsidP="002367AB">
            <w:pPr>
              <w:spacing w:line="276" w:lineRule="auto"/>
              <w:rPr>
                <w:rFonts w:cstheme="minorHAnsi"/>
                <w:szCs w:val="20"/>
              </w:rPr>
            </w:pPr>
            <w:r w:rsidRPr="00F32842">
              <w:rPr>
                <w:rFonts w:cstheme="minorHAnsi"/>
                <w:szCs w:val="20"/>
              </w:rPr>
              <w:t>To be completed by all tenderers and returned.</w:t>
            </w:r>
          </w:p>
        </w:tc>
      </w:tr>
      <w:tr w:rsidR="00AB6AE2" w:rsidRPr="00281107" w14:paraId="1081F24B" w14:textId="77777777" w:rsidTr="00F97421">
        <w:trPr>
          <w:trHeight w:val="128"/>
        </w:trPr>
        <w:tc>
          <w:tcPr>
            <w:tcW w:w="4536" w:type="dxa"/>
          </w:tcPr>
          <w:p w14:paraId="02F06052" w14:textId="1FA8FE99" w:rsidR="00AB6AE2" w:rsidRPr="00F32842" w:rsidRDefault="00AB6AE2" w:rsidP="002367AB">
            <w:pPr>
              <w:spacing w:line="276" w:lineRule="auto"/>
              <w:rPr>
                <w:rFonts w:cstheme="minorHAnsi"/>
                <w:szCs w:val="20"/>
              </w:rPr>
            </w:pPr>
            <w:r>
              <w:rPr>
                <w:rFonts w:cstheme="minorHAnsi"/>
                <w:szCs w:val="20"/>
              </w:rPr>
              <w:t>BCAT</w:t>
            </w:r>
            <w:r w:rsidRPr="00F32842">
              <w:rPr>
                <w:rFonts w:cstheme="minorHAnsi"/>
                <w:szCs w:val="20"/>
              </w:rPr>
              <w:t xml:space="preserve"> </w:t>
            </w:r>
            <w:r>
              <w:rPr>
                <w:rFonts w:cstheme="minorHAnsi"/>
                <w:szCs w:val="20"/>
              </w:rPr>
              <w:t xml:space="preserve">ITT </w:t>
            </w:r>
            <w:r w:rsidRPr="00F32842">
              <w:rPr>
                <w:rFonts w:cstheme="minorHAnsi"/>
                <w:szCs w:val="20"/>
              </w:rPr>
              <w:t xml:space="preserve">App </w:t>
            </w:r>
            <w:r>
              <w:rPr>
                <w:rFonts w:cstheme="minorHAnsi"/>
                <w:szCs w:val="20"/>
              </w:rPr>
              <w:t>2</w:t>
            </w:r>
            <w:r w:rsidRPr="00F32842">
              <w:rPr>
                <w:rFonts w:cstheme="minorHAnsi"/>
                <w:szCs w:val="20"/>
              </w:rPr>
              <w:t xml:space="preserve"> </w:t>
            </w:r>
            <w:r w:rsidR="00EB5524" w:rsidRPr="005C7D3C">
              <w:rPr>
                <w:rFonts w:cstheme="minorHAnsi"/>
              </w:rPr>
              <w:t xml:space="preserve">Current Support Arrangements </w:t>
            </w:r>
            <w:r w:rsidR="00EB5524">
              <w:rPr>
                <w:rFonts w:cstheme="minorHAnsi"/>
              </w:rPr>
              <w:t>and</w:t>
            </w:r>
            <w:r w:rsidR="00EB5524" w:rsidRPr="005C7D3C">
              <w:rPr>
                <w:rFonts w:cstheme="minorHAnsi"/>
              </w:rPr>
              <w:t xml:space="preserve"> Solution</w:t>
            </w:r>
            <w:r w:rsidRPr="00F32842">
              <w:rPr>
                <w:rFonts w:cstheme="minorHAnsi"/>
                <w:szCs w:val="20"/>
              </w:rPr>
              <w:t>.</w:t>
            </w:r>
            <w:r>
              <w:rPr>
                <w:rFonts w:cstheme="minorHAnsi"/>
                <w:szCs w:val="20"/>
              </w:rPr>
              <w:t>docx</w:t>
            </w:r>
          </w:p>
        </w:tc>
        <w:tc>
          <w:tcPr>
            <w:tcW w:w="3686" w:type="dxa"/>
          </w:tcPr>
          <w:p w14:paraId="5AABEBCD" w14:textId="77777777" w:rsidR="00AB6AE2" w:rsidRPr="00F32842" w:rsidRDefault="00AB6AE2" w:rsidP="002367AB">
            <w:pPr>
              <w:spacing w:line="276" w:lineRule="auto"/>
              <w:rPr>
                <w:rFonts w:cstheme="minorHAnsi"/>
                <w:szCs w:val="20"/>
              </w:rPr>
            </w:pPr>
            <w:r w:rsidRPr="00F32842">
              <w:rPr>
                <w:rFonts w:cstheme="minorHAnsi"/>
                <w:szCs w:val="20"/>
              </w:rPr>
              <w:t>For information.</w:t>
            </w:r>
          </w:p>
        </w:tc>
      </w:tr>
    </w:tbl>
    <w:p w14:paraId="72B8ED8F" w14:textId="77777777" w:rsidR="00AB6AE2" w:rsidRPr="00AB6AE2" w:rsidRDefault="00AB6AE2" w:rsidP="00AB6AE2"/>
    <w:p w14:paraId="5BE8737A" w14:textId="0BF572BC" w:rsidR="00DA1687" w:rsidRPr="007148B1" w:rsidRDefault="0043567C" w:rsidP="00AB6AE2">
      <w:pPr>
        <w:pStyle w:val="Level1"/>
      </w:pPr>
      <w:bookmarkStart w:id="27" w:name="_Toc118472351"/>
      <w:r w:rsidRPr="0072029E">
        <w:t>Important Notices</w:t>
      </w:r>
      <w:bookmarkEnd w:id="23"/>
      <w:bookmarkEnd w:id="24"/>
      <w:bookmarkEnd w:id="25"/>
      <w:bookmarkEnd w:id="26"/>
      <w:bookmarkEnd w:id="27"/>
      <w:r w:rsidR="00C73AE7" w:rsidRPr="005B60C9">
        <w:t xml:space="preserve"> </w:t>
      </w:r>
    </w:p>
    <w:p w14:paraId="5535F496" w14:textId="5FAEF5F5" w:rsidR="006F0FFA" w:rsidRPr="004F1D3D" w:rsidRDefault="006F0FFA" w:rsidP="00AB6AE2">
      <w:pPr>
        <w:pStyle w:val="Level2"/>
      </w:pPr>
      <w:bookmarkStart w:id="28" w:name="_Toc44515833"/>
      <w:bookmarkStart w:id="29" w:name="_Toc86338680"/>
      <w:r w:rsidRPr="004F1D3D">
        <w:t xml:space="preserve">The goods and services that a supplier will be required to supply is set out in Volume 3 and a short description is contained in the FTS contract notice. A copy of the FTS notice is published at </w:t>
      </w:r>
      <w:bookmarkEnd w:id="28"/>
      <w:bookmarkEnd w:id="29"/>
      <w:r w:rsidRPr="004F1D3D">
        <w:fldChar w:fldCharType="begin"/>
      </w:r>
      <w:r w:rsidRPr="004F1D3D">
        <w:instrText xml:space="preserve"> HYPERLINK "https://cimple.uk" </w:instrText>
      </w:r>
      <w:r w:rsidRPr="004F1D3D">
        <w:fldChar w:fldCharType="separate"/>
      </w:r>
      <w:r w:rsidRPr="004F1D3D">
        <w:rPr>
          <w:rStyle w:val="Hyperlink"/>
        </w:rPr>
        <w:t>https://cimple.uk</w:t>
      </w:r>
      <w:r w:rsidRPr="004F1D3D">
        <w:fldChar w:fldCharType="end"/>
      </w:r>
      <w:r w:rsidR="00E41E6B">
        <w:t xml:space="preserve">, </w:t>
      </w:r>
      <w:hyperlink r:id="rId15" w:history="1">
        <w:r w:rsidRPr="004F1D3D">
          <w:rPr>
            <w:rStyle w:val="Hyperlink"/>
          </w:rPr>
          <w:t>Find a Tender</w:t>
        </w:r>
      </w:hyperlink>
      <w:r w:rsidR="00E41E6B" w:rsidRPr="00E41E6B">
        <w:rPr>
          <w:rStyle w:val="Hyperlink"/>
          <w:color w:val="000000" w:themeColor="text1"/>
          <w:u w:val="none"/>
        </w:rPr>
        <w:t xml:space="preserve">, or </w:t>
      </w:r>
      <w:hyperlink r:id="rId16" w:history="1">
        <w:r w:rsidR="00E41E6B" w:rsidRPr="00E41E6B">
          <w:rPr>
            <w:rStyle w:val="Hyperlink"/>
          </w:rPr>
          <w:t>Contracts Finder</w:t>
        </w:r>
      </w:hyperlink>
      <w:r w:rsidRPr="004F1D3D">
        <w:t>.</w:t>
      </w:r>
    </w:p>
    <w:p w14:paraId="18E47BB7" w14:textId="23600919" w:rsidR="000C49A1" w:rsidRPr="007148B1" w:rsidRDefault="00C73AE7" w:rsidP="00AB6AE2">
      <w:pPr>
        <w:pStyle w:val="Level2"/>
      </w:pPr>
      <w:bookmarkStart w:id="30" w:name="_Toc44515838"/>
      <w:bookmarkStart w:id="31" w:name="_Toc86338694"/>
      <w:r w:rsidRPr="007148B1">
        <w:t xml:space="preserve">The contents of this ITT and of any other documentation sent to you in respect of this tender process are provided on the basis that they remain the property of </w:t>
      </w:r>
      <w:r w:rsidR="006F0FFA">
        <w:t>T</w:t>
      </w:r>
      <w:r w:rsidRPr="007148B1">
        <w:t xml:space="preserve">he </w:t>
      </w:r>
      <w:r w:rsidR="006F0FFA">
        <w:t>Trust</w:t>
      </w:r>
      <w:r w:rsidRPr="007148B1">
        <w:t xml:space="preserve"> and must be treated as confidential. If you are unable or unwilling to comply with this requirement you are required to destroy this ITT and all associated documents immediately and not to retain any electronic or paper copies.</w:t>
      </w:r>
      <w:bookmarkEnd w:id="30"/>
      <w:bookmarkEnd w:id="31"/>
      <w:r w:rsidRPr="007148B1">
        <w:t xml:space="preserve"> </w:t>
      </w:r>
      <w:bookmarkStart w:id="32" w:name="_Toc44515839"/>
    </w:p>
    <w:p w14:paraId="28A07E2F" w14:textId="3BC5B7B9" w:rsidR="000C49A1" w:rsidRPr="007148B1" w:rsidRDefault="00C73AE7" w:rsidP="00AB6AE2">
      <w:pPr>
        <w:pStyle w:val="Level2"/>
      </w:pPr>
      <w:bookmarkStart w:id="33" w:name="_Toc86338695"/>
      <w:r w:rsidRPr="007148B1">
        <w:t xml:space="preserve">No </w:t>
      </w:r>
      <w:r w:rsidR="007F48AB">
        <w:t>s</w:t>
      </w:r>
      <w:r w:rsidR="004451D4" w:rsidRPr="007148B1">
        <w:t>upplier</w:t>
      </w:r>
      <w:r w:rsidRPr="007148B1">
        <w:t xml:space="preserve"> will undertake any publicity activities with any part of the media in relation to this ITT process without the prior written agreement of </w:t>
      </w:r>
      <w:r w:rsidR="006F0FFA">
        <w:t>T</w:t>
      </w:r>
      <w:r w:rsidR="00C221F9" w:rsidRPr="007148B1">
        <w:t xml:space="preserve">he </w:t>
      </w:r>
      <w:r w:rsidR="006F0FFA">
        <w:t>T</w:t>
      </w:r>
      <w:r w:rsidR="00C221F9" w:rsidRPr="007148B1">
        <w:t>rust</w:t>
      </w:r>
      <w:r w:rsidRPr="007148B1">
        <w:t>, including agreement on the format and content of any publicity.</w:t>
      </w:r>
      <w:bookmarkStart w:id="34" w:name="_Toc44515840"/>
      <w:bookmarkEnd w:id="32"/>
      <w:bookmarkEnd w:id="33"/>
    </w:p>
    <w:p w14:paraId="1550979A" w14:textId="5ADB2F9F" w:rsidR="000C49A1" w:rsidRPr="007148B1" w:rsidRDefault="00C73AE7" w:rsidP="00AB6AE2">
      <w:pPr>
        <w:pStyle w:val="Level2"/>
      </w:pPr>
      <w:bookmarkStart w:id="35" w:name="_Toc86338696"/>
      <w:r w:rsidRPr="007148B1">
        <w:t xml:space="preserve">This ITT is made available in good faith. No warranty is given as to the accuracy or completeness of the information contained in it and any liability or any inaccuracy or incompleteness is therefore expressly disclaimed by </w:t>
      </w:r>
      <w:r w:rsidR="006F0FFA">
        <w:t>T</w:t>
      </w:r>
      <w:r w:rsidR="006F0FFA" w:rsidRPr="007148B1">
        <w:t xml:space="preserve">he </w:t>
      </w:r>
      <w:r w:rsidR="006F0FFA">
        <w:t>T</w:t>
      </w:r>
      <w:r w:rsidR="006F0FFA" w:rsidRPr="007148B1">
        <w:t xml:space="preserve">rust </w:t>
      </w:r>
      <w:r w:rsidRPr="007148B1">
        <w:t xml:space="preserve">and </w:t>
      </w:r>
      <w:r w:rsidR="00C221F9" w:rsidRPr="007148B1">
        <w:t xml:space="preserve">their </w:t>
      </w:r>
      <w:r w:rsidRPr="007148B1">
        <w:t>advisers</w:t>
      </w:r>
      <w:r w:rsidR="00DA1687" w:rsidRPr="007148B1">
        <w:t>/contractors</w:t>
      </w:r>
      <w:r w:rsidRPr="007148B1">
        <w:t>.</w:t>
      </w:r>
      <w:bookmarkStart w:id="36" w:name="_Toc44515841"/>
      <w:bookmarkEnd w:id="34"/>
      <w:bookmarkEnd w:id="35"/>
    </w:p>
    <w:p w14:paraId="59430F36" w14:textId="35344CA8" w:rsidR="000C49A1" w:rsidRPr="007148B1" w:rsidRDefault="006F0FFA" w:rsidP="00AB6AE2">
      <w:pPr>
        <w:pStyle w:val="Level2"/>
      </w:pPr>
      <w:bookmarkStart w:id="37" w:name="_Toc86338697"/>
      <w:r>
        <w:t>The Trust</w:t>
      </w:r>
      <w:r w:rsidR="00C221F9" w:rsidRPr="007148B1">
        <w:t xml:space="preserve"> </w:t>
      </w:r>
      <w:r w:rsidR="00C73AE7" w:rsidRPr="007148B1">
        <w:t>reserve</w:t>
      </w:r>
      <w:r>
        <w:t>s</w:t>
      </w:r>
      <w:r w:rsidR="00C73AE7" w:rsidRPr="007148B1">
        <w:t xml:space="preserve"> the right to cancel the ITT process at any point. </w:t>
      </w:r>
      <w:r w:rsidR="00C221F9" w:rsidRPr="007148B1">
        <w:t>They are</w:t>
      </w:r>
      <w:r w:rsidR="00C73AE7" w:rsidRPr="007148B1">
        <w:t xml:space="preserve"> not liable for any costs resulting from any cancellation of this ITT process</w:t>
      </w:r>
      <w:r w:rsidR="00C221F9" w:rsidRPr="007148B1">
        <w:t xml:space="preserve">, and do </w:t>
      </w:r>
      <w:r w:rsidR="00DA1687" w:rsidRPr="007148B1">
        <w:t>not accept any liability for any costs incurred by you in the process of responding to this tender.</w:t>
      </w:r>
      <w:bookmarkEnd w:id="36"/>
      <w:bookmarkEnd w:id="37"/>
      <w:r w:rsidR="00DA1687" w:rsidRPr="007148B1">
        <w:t xml:space="preserve"> </w:t>
      </w:r>
      <w:bookmarkStart w:id="38" w:name="_Toc44515842"/>
    </w:p>
    <w:p w14:paraId="52F1C6E8" w14:textId="6B5CFB35" w:rsidR="000C49A1" w:rsidRPr="007148B1" w:rsidRDefault="00C73AE7" w:rsidP="00AB6AE2">
      <w:pPr>
        <w:pStyle w:val="Level2"/>
      </w:pPr>
      <w:bookmarkStart w:id="39" w:name="_Toc86338698"/>
      <w:r w:rsidRPr="007148B1">
        <w:t xml:space="preserve">All </w:t>
      </w:r>
      <w:r w:rsidR="007F48AB">
        <w:t>s</w:t>
      </w:r>
      <w:r w:rsidR="004451D4" w:rsidRPr="007148B1">
        <w:t>upplier</w:t>
      </w:r>
      <w:r w:rsidRPr="007148B1">
        <w:t>s will be informed as to the outcome of their ITT submission.</w:t>
      </w:r>
      <w:bookmarkStart w:id="40" w:name="_Toc44515843"/>
      <w:bookmarkEnd w:id="38"/>
      <w:bookmarkEnd w:id="39"/>
    </w:p>
    <w:p w14:paraId="5C0AED61" w14:textId="16F288D5" w:rsidR="000C49A1" w:rsidRPr="007148B1" w:rsidRDefault="00C73AE7" w:rsidP="00AB6AE2">
      <w:pPr>
        <w:pStyle w:val="Level2"/>
      </w:pPr>
      <w:bookmarkStart w:id="41" w:name="_Toc86338699"/>
      <w:r w:rsidRPr="007148B1">
        <w:t xml:space="preserve">Nothing in this ITT shall bind </w:t>
      </w:r>
      <w:r w:rsidR="006F0FFA">
        <w:t>The Trust</w:t>
      </w:r>
      <w:r w:rsidR="00C221F9" w:rsidRPr="007148B1">
        <w:t xml:space="preserve"> </w:t>
      </w:r>
      <w:r w:rsidRPr="007148B1">
        <w:t xml:space="preserve">to accept any ITT submission. No </w:t>
      </w:r>
      <w:r w:rsidR="00DA1687" w:rsidRPr="007148B1">
        <w:t>i</w:t>
      </w:r>
      <w:r w:rsidRPr="007148B1">
        <w:t xml:space="preserve">nformation contained in this ITT or in any communication made between </w:t>
      </w:r>
      <w:r w:rsidR="006F0FFA">
        <w:t>T</w:t>
      </w:r>
      <w:r w:rsidR="006F0FFA" w:rsidRPr="007148B1">
        <w:t xml:space="preserve">he </w:t>
      </w:r>
      <w:r w:rsidR="006F0FFA">
        <w:t>T</w:t>
      </w:r>
      <w:r w:rsidR="006F0FFA" w:rsidRPr="007148B1">
        <w:t xml:space="preserve">rust </w:t>
      </w:r>
      <w:r w:rsidRPr="007148B1">
        <w:t xml:space="preserve">and any </w:t>
      </w:r>
      <w:r w:rsidR="007F48AB">
        <w:t>s</w:t>
      </w:r>
      <w:r w:rsidR="004451D4" w:rsidRPr="007148B1">
        <w:t>upplier</w:t>
      </w:r>
      <w:r w:rsidR="00C221F9" w:rsidRPr="007148B1">
        <w:t>s</w:t>
      </w:r>
      <w:r w:rsidRPr="007148B1">
        <w:t xml:space="preserve"> in connection with this ITT shall be relied upon as constituting a contract, agreement</w:t>
      </w:r>
      <w:r w:rsidR="002F50CB" w:rsidRPr="007148B1">
        <w:t>,</w:t>
      </w:r>
      <w:r w:rsidRPr="007148B1">
        <w:t xml:space="preserve"> or representation that any agreement or contract shall be offered in accordance with this ITT.</w:t>
      </w:r>
      <w:bookmarkEnd w:id="40"/>
      <w:bookmarkEnd w:id="41"/>
      <w:r w:rsidRPr="007148B1">
        <w:t xml:space="preserve"> </w:t>
      </w:r>
      <w:bookmarkStart w:id="42" w:name="_Toc44515844"/>
    </w:p>
    <w:p w14:paraId="677C2D07" w14:textId="46F2D508" w:rsidR="000C49A1" w:rsidRPr="007148B1" w:rsidRDefault="00C73AE7" w:rsidP="00AB6AE2">
      <w:pPr>
        <w:pStyle w:val="Level2"/>
      </w:pPr>
      <w:bookmarkStart w:id="43" w:name="_Toc86338700"/>
      <w:r w:rsidRPr="007148B1">
        <w:lastRenderedPageBreak/>
        <w:t xml:space="preserve">You are deemed to understand fully the processes that </w:t>
      </w:r>
      <w:r w:rsidR="006F0FFA">
        <w:t>T</w:t>
      </w:r>
      <w:r w:rsidR="006F0FFA" w:rsidRPr="007148B1">
        <w:t xml:space="preserve">he </w:t>
      </w:r>
      <w:r w:rsidR="006F0FFA">
        <w:t>T</w:t>
      </w:r>
      <w:r w:rsidR="006F0FFA" w:rsidRPr="007148B1">
        <w:t xml:space="preserve">rust </w:t>
      </w:r>
      <w:r w:rsidR="006F0FFA">
        <w:t xml:space="preserve">is </w:t>
      </w:r>
      <w:r w:rsidRPr="007148B1">
        <w:t xml:space="preserve">required to follow under relevant European and UK legislation, particularly in relation to </w:t>
      </w:r>
      <w:r w:rsidRPr="00E41E6B">
        <w:t>The Public Contracts Regulations 2015</w:t>
      </w:r>
      <w:r w:rsidRPr="007148B1">
        <w:t xml:space="preserve"> (as amended).</w:t>
      </w:r>
      <w:bookmarkEnd w:id="42"/>
      <w:bookmarkEnd w:id="43"/>
      <w:r w:rsidRPr="007148B1">
        <w:t xml:space="preserve"> </w:t>
      </w:r>
      <w:bookmarkStart w:id="44" w:name="_Toc44515845"/>
    </w:p>
    <w:p w14:paraId="03F75E17" w14:textId="5BB2DF7E" w:rsidR="000C49A1" w:rsidRPr="007148B1" w:rsidRDefault="006F0FFA" w:rsidP="00AB6AE2">
      <w:pPr>
        <w:pStyle w:val="Level2"/>
      </w:pPr>
      <w:bookmarkStart w:id="45" w:name="_Toc44515846"/>
      <w:bookmarkStart w:id="46" w:name="_Toc86338702"/>
      <w:bookmarkEnd w:id="44"/>
      <w:r>
        <w:t>T</w:t>
      </w:r>
      <w:r w:rsidRPr="007148B1">
        <w:t xml:space="preserve">he </w:t>
      </w:r>
      <w:r>
        <w:t>T</w:t>
      </w:r>
      <w:r w:rsidRPr="007148B1">
        <w:t xml:space="preserve">rust </w:t>
      </w:r>
      <w:r w:rsidR="00053054" w:rsidRPr="007148B1">
        <w:t xml:space="preserve">may wish to conduct interviews, make enquiries of your existing customers, sample services, carry out site visits and/or require further information </w:t>
      </w:r>
      <w:r w:rsidR="004518CC" w:rsidRPr="007148B1">
        <w:t>from</w:t>
      </w:r>
      <w:r w:rsidR="00053054" w:rsidRPr="007148B1">
        <w:t xml:space="preserve"> you at any stage during the selection process.</w:t>
      </w:r>
      <w:bookmarkStart w:id="47" w:name="_Toc44515847"/>
      <w:bookmarkEnd w:id="45"/>
      <w:bookmarkEnd w:id="46"/>
    </w:p>
    <w:p w14:paraId="5F8FF63A" w14:textId="1C336B2E" w:rsidR="000C49A1" w:rsidRPr="007148B1" w:rsidRDefault="00053054" w:rsidP="00AB6AE2">
      <w:pPr>
        <w:pStyle w:val="Level2"/>
      </w:pPr>
      <w:bookmarkStart w:id="48" w:name="_Toc86338703"/>
      <w:r w:rsidRPr="007148B1">
        <w:t xml:space="preserve">You must satisfy yourself that execution of the </w:t>
      </w:r>
      <w:r w:rsidR="004518CC" w:rsidRPr="007148B1">
        <w:t>c</w:t>
      </w:r>
      <w:r w:rsidRPr="007148B1">
        <w:t xml:space="preserve">ontract is within your capabilities and powers and demonstrate this to </w:t>
      </w:r>
      <w:r w:rsidR="006F0FFA">
        <w:t>T</w:t>
      </w:r>
      <w:r w:rsidR="006F0FFA" w:rsidRPr="007148B1">
        <w:t xml:space="preserve">he </w:t>
      </w:r>
      <w:r w:rsidR="006F0FFA">
        <w:t>T</w:t>
      </w:r>
      <w:r w:rsidR="006F0FFA" w:rsidRPr="007148B1">
        <w:t>rust</w:t>
      </w:r>
      <w:r w:rsidRPr="007148B1">
        <w:t>.</w:t>
      </w:r>
      <w:bookmarkStart w:id="49" w:name="_Toc44515848"/>
      <w:bookmarkEnd w:id="47"/>
      <w:bookmarkEnd w:id="48"/>
    </w:p>
    <w:p w14:paraId="17E60F4F" w14:textId="2D5A8A7C" w:rsidR="000C49A1" w:rsidRPr="007148B1" w:rsidRDefault="006F0FFA" w:rsidP="00AB6AE2">
      <w:pPr>
        <w:pStyle w:val="Level2"/>
      </w:pPr>
      <w:bookmarkStart w:id="50" w:name="_Toc86338704"/>
      <w:r>
        <w:t>T</w:t>
      </w:r>
      <w:r w:rsidRPr="007148B1">
        <w:t xml:space="preserve">he </w:t>
      </w:r>
      <w:r>
        <w:t>T</w:t>
      </w:r>
      <w:r w:rsidRPr="007148B1">
        <w:t>rust</w:t>
      </w:r>
      <w:r w:rsidR="00C221F9" w:rsidRPr="007148B1">
        <w:t xml:space="preserve"> </w:t>
      </w:r>
      <w:r w:rsidR="00053054" w:rsidRPr="007148B1">
        <w:t>reserve</w:t>
      </w:r>
      <w:r>
        <w:t>s</w:t>
      </w:r>
      <w:r w:rsidR="00053054" w:rsidRPr="007148B1">
        <w:t xml:space="preserve"> the right to clarify any element of the submitted </w:t>
      </w:r>
      <w:r w:rsidR="004518CC" w:rsidRPr="007148B1">
        <w:t>t</w:t>
      </w:r>
      <w:r w:rsidR="00053054" w:rsidRPr="007148B1">
        <w:t>ender.</w:t>
      </w:r>
      <w:bookmarkStart w:id="51" w:name="_Toc44515849"/>
      <w:bookmarkEnd w:id="49"/>
      <w:bookmarkEnd w:id="50"/>
    </w:p>
    <w:p w14:paraId="2F03AF38" w14:textId="20C371F4" w:rsidR="00053054" w:rsidRPr="007148B1" w:rsidRDefault="006F0FFA" w:rsidP="00AB6AE2">
      <w:pPr>
        <w:pStyle w:val="Level2"/>
      </w:pPr>
      <w:bookmarkStart w:id="52" w:name="_Toc86338705"/>
      <w:r>
        <w:t>T</w:t>
      </w:r>
      <w:r w:rsidRPr="007148B1">
        <w:t xml:space="preserve">he </w:t>
      </w:r>
      <w:r>
        <w:t>T</w:t>
      </w:r>
      <w:r w:rsidRPr="007148B1">
        <w:t xml:space="preserve">rust </w:t>
      </w:r>
      <w:r w:rsidR="00053054" w:rsidRPr="007148B1">
        <w:t>reserve</w:t>
      </w:r>
      <w:r>
        <w:t>s</w:t>
      </w:r>
      <w:r w:rsidR="00053054" w:rsidRPr="007148B1">
        <w:t xml:space="preserve"> the right to reject non-compliant </w:t>
      </w:r>
      <w:r w:rsidR="004518CC" w:rsidRPr="007148B1">
        <w:t>t</w:t>
      </w:r>
      <w:r w:rsidR="00053054" w:rsidRPr="007148B1">
        <w:t>ender responses.</w:t>
      </w:r>
      <w:bookmarkEnd w:id="51"/>
      <w:bookmarkEnd w:id="52"/>
    </w:p>
    <w:p w14:paraId="2CCC1F1C" w14:textId="77777777" w:rsidR="00AB6AE2" w:rsidRDefault="00AB6AE2" w:rsidP="00AB6AE2">
      <w:pPr>
        <w:pStyle w:val="Level1"/>
      </w:pPr>
      <w:bookmarkStart w:id="53" w:name="_Toc44515934"/>
      <w:bookmarkStart w:id="54" w:name="_Toc86338477"/>
      <w:bookmarkStart w:id="55" w:name="_Toc86338818"/>
      <w:bookmarkStart w:id="56" w:name="_Toc117092809"/>
      <w:bookmarkStart w:id="57" w:name="_Toc44515850"/>
      <w:bookmarkStart w:id="58" w:name="_Toc86338462"/>
      <w:bookmarkStart w:id="59" w:name="_Toc86338706"/>
      <w:bookmarkStart w:id="60" w:name="_Toc117092799"/>
      <w:bookmarkStart w:id="61" w:name="_Toc118472352"/>
      <w:r w:rsidRPr="001C531D">
        <w:t>Freedom of Information Act 2000</w:t>
      </w:r>
      <w:bookmarkEnd w:id="53"/>
      <w:bookmarkEnd w:id="54"/>
      <w:bookmarkEnd w:id="55"/>
      <w:bookmarkEnd w:id="56"/>
      <w:bookmarkEnd w:id="61"/>
      <w:r w:rsidRPr="001C531D">
        <w:t xml:space="preserve"> </w:t>
      </w:r>
    </w:p>
    <w:p w14:paraId="2DD230F7" w14:textId="77777777" w:rsidR="00AB6AE2" w:rsidRPr="0034252F" w:rsidRDefault="00AB6AE2" w:rsidP="00AB6AE2">
      <w:pPr>
        <w:pStyle w:val="Level2"/>
      </w:pPr>
      <w:bookmarkStart w:id="62" w:name="_Toc44515935"/>
      <w:bookmarkStart w:id="63" w:name="_Toc86338819"/>
      <w:r>
        <w:t>The Trust is</w:t>
      </w:r>
      <w:r w:rsidRPr="0034252F">
        <w:t xml:space="preserve"> subject to The Freedom of Information Act 2000 (“Act”) and The Environmental Information Regulations 2004 (“EIR”).</w:t>
      </w:r>
      <w:bookmarkStart w:id="64" w:name="_Toc44515936"/>
      <w:bookmarkEnd w:id="62"/>
      <w:bookmarkEnd w:id="63"/>
    </w:p>
    <w:p w14:paraId="73AD4B9E" w14:textId="77777777" w:rsidR="00AB6AE2" w:rsidRPr="0034252F" w:rsidRDefault="00AB6AE2" w:rsidP="00AB6AE2">
      <w:pPr>
        <w:pStyle w:val="Level2"/>
      </w:pPr>
      <w:bookmarkStart w:id="65" w:name="_Toc86338820"/>
      <w:r w:rsidRPr="0034252F">
        <w:t xml:space="preserve">As part of </w:t>
      </w:r>
      <w:r>
        <w:t xml:space="preserve">The Trust’s </w:t>
      </w:r>
      <w:r w:rsidRPr="0034252F">
        <w:t>obligations under the Act or EIR, they may be required to disclose information concerning the procurement process or the contract to anyone who makes a reasonable request.</w:t>
      </w:r>
      <w:bookmarkStart w:id="66" w:name="_Toc44515937"/>
      <w:bookmarkEnd w:id="64"/>
      <w:bookmarkEnd w:id="65"/>
    </w:p>
    <w:p w14:paraId="5A3AEF12" w14:textId="190B3B89" w:rsidR="00AB6AE2" w:rsidRPr="0034252F" w:rsidRDefault="00AB6AE2" w:rsidP="00AB6AE2">
      <w:pPr>
        <w:pStyle w:val="Level2"/>
      </w:pPr>
      <w:bookmarkStart w:id="67" w:name="_Toc86338821"/>
      <w:r w:rsidRPr="0034252F">
        <w:t xml:space="preserve">If suppliers </w:t>
      </w:r>
      <w:r w:rsidR="00E41E6B">
        <w:t>believe</w:t>
      </w:r>
      <w:r w:rsidRPr="0034252F">
        <w:t xml:space="preserve"> that any of the information provided in their ITT is commercially sensitive (meaning it could reasonably cause prejudice to the organisation if disclosed to a third party) then it should be clearly marked as “Not for disclosure to third parties” together with a valid reason in support of the information being exempt from disclosure under the Act and the EIR.</w:t>
      </w:r>
      <w:bookmarkStart w:id="68" w:name="_Toc44515938"/>
      <w:bookmarkEnd w:id="66"/>
      <w:bookmarkEnd w:id="67"/>
    </w:p>
    <w:p w14:paraId="21F27D5A" w14:textId="77777777" w:rsidR="00AB6AE2" w:rsidRPr="0034252F" w:rsidRDefault="00AB6AE2" w:rsidP="00AB6AE2">
      <w:pPr>
        <w:pStyle w:val="Level2"/>
      </w:pPr>
      <w:bookmarkStart w:id="69" w:name="_Toc86338822"/>
      <w:r>
        <w:t>The Trust</w:t>
      </w:r>
      <w:r w:rsidRPr="0034252F">
        <w:t xml:space="preserve"> will endeavour to consult with suppliers and have regard to comments and any objections before they release any information to a third party under the Act or the EIR. However, they shall be entitled to determine in its absolute discretion whether any information is exempt from the Act and/or the EIR or is to be disclosed in response to a request of information. </w:t>
      </w:r>
      <w:r>
        <w:t>The Trust</w:t>
      </w:r>
      <w:r w:rsidRPr="0034252F">
        <w:t xml:space="preserve"> must make their decision on disclosure in accordance with the provisions of the Act or the EIR and can only withhold information if it is covered by an exemption from disclosure under the Act or the EIR.</w:t>
      </w:r>
      <w:bookmarkStart w:id="70" w:name="_Toc44515939"/>
      <w:bookmarkEnd w:id="68"/>
      <w:bookmarkEnd w:id="69"/>
    </w:p>
    <w:p w14:paraId="6EBFAA2D" w14:textId="77777777" w:rsidR="00AB6AE2" w:rsidRPr="0034252F" w:rsidRDefault="00AB6AE2" w:rsidP="00AB6AE2">
      <w:pPr>
        <w:pStyle w:val="Level2"/>
      </w:pPr>
      <w:bookmarkStart w:id="71" w:name="_Toc86338823"/>
      <w:r>
        <w:t>The Trust</w:t>
      </w:r>
      <w:r w:rsidRPr="0034252F">
        <w:t xml:space="preserve"> will not be held liable for any loss or prejudice caused by the disclosure of information that:</w:t>
      </w:r>
      <w:bookmarkStart w:id="72" w:name="_Toc44515940"/>
      <w:bookmarkEnd w:id="70"/>
      <w:bookmarkEnd w:id="71"/>
    </w:p>
    <w:p w14:paraId="49F0814D" w14:textId="77777777" w:rsidR="00AB6AE2" w:rsidRPr="004B36A0" w:rsidRDefault="00AB6AE2" w:rsidP="00AB6AE2">
      <w:pPr>
        <w:pStyle w:val="Level3"/>
        <w:numPr>
          <w:ilvl w:val="2"/>
          <w:numId w:val="3"/>
        </w:numPr>
      </w:pPr>
      <w:bookmarkStart w:id="73" w:name="_Toc86338824"/>
      <w:r w:rsidRPr="004B36A0">
        <w:t>not been clearly marked as “not for disclosure to third parties” with supporting reasons (referring to the relevant category of exemption under the Act or EIR where possible); or</w:t>
      </w:r>
      <w:bookmarkStart w:id="74" w:name="_Toc44515941"/>
      <w:bookmarkEnd w:id="72"/>
      <w:bookmarkEnd w:id="73"/>
    </w:p>
    <w:p w14:paraId="2A9D31AE" w14:textId="77777777" w:rsidR="00AB6AE2" w:rsidRPr="004B36A0" w:rsidRDefault="00AB6AE2" w:rsidP="00AB6AE2">
      <w:pPr>
        <w:pStyle w:val="Level3"/>
        <w:numPr>
          <w:ilvl w:val="2"/>
          <w:numId w:val="3"/>
        </w:numPr>
      </w:pPr>
      <w:bookmarkStart w:id="75" w:name="_Toc86338825"/>
      <w:r w:rsidRPr="004B36A0">
        <w:t>does not fall into a category of information that is exempt from disclosure under the Act or EIR (for example, a trade secret or would be likely to prejudice the commercial interests of any person); or</w:t>
      </w:r>
      <w:bookmarkStart w:id="76" w:name="_Toc44515942"/>
      <w:bookmarkEnd w:id="74"/>
      <w:bookmarkEnd w:id="75"/>
    </w:p>
    <w:p w14:paraId="6B87975B" w14:textId="77777777" w:rsidR="00AB6AE2" w:rsidRPr="004B36A0" w:rsidRDefault="00AB6AE2" w:rsidP="00AB6AE2">
      <w:pPr>
        <w:pStyle w:val="Level3"/>
        <w:numPr>
          <w:ilvl w:val="2"/>
          <w:numId w:val="3"/>
        </w:numPr>
      </w:pPr>
      <w:bookmarkStart w:id="77" w:name="_Toc86338826"/>
      <w:r w:rsidRPr="004B36A0">
        <w:t>in cases where there is no absolute statutory duty to withhold information, then notwithstanding the previous clauses, in circumstances where it is in the public interest to disclose any such information.</w:t>
      </w:r>
      <w:bookmarkEnd w:id="76"/>
      <w:bookmarkEnd w:id="77"/>
    </w:p>
    <w:p w14:paraId="4BC67246" w14:textId="77777777" w:rsidR="00AB6AE2" w:rsidRPr="00102E6E" w:rsidRDefault="00AB6AE2" w:rsidP="00AB6AE2">
      <w:pPr>
        <w:pStyle w:val="Level1"/>
      </w:pPr>
      <w:bookmarkStart w:id="78" w:name="_Toc86338478"/>
      <w:bookmarkStart w:id="79" w:name="_Toc86338827"/>
      <w:bookmarkStart w:id="80" w:name="_Toc117092810"/>
      <w:bookmarkStart w:id="81" w:name="_Toc118472353"/>
      <w:r w:rsidRPr="004E160E">
        <w:t>Consequences of misrepresentation</w:t>
      </w:r>
      <w:bookmarkEnd w:id="78"/>
      <w:bookmarkEnd w:id="79"/>
      <w:bookmarkEnd w:id="80"/>
      <w:bookmarkEnd w:id="81"/>
      <w:r w:rsidRPr="004E160E">
        <w:t xml:space="preserve"> </w:t>
      </w:r>
    </w:p>
    <w:p w14:paraId="171AB6C8" w14:textId="77777777" w:rsidR="00AB6AE2" w:rsidRPr="002C7BE0" w:rsidRDefault="00AB6AE2" w:rsidP="00AB6AE2">
      <w:pPr>
        <w:pStyle w:val="Level2"/>
      </w:pPr>
      <w:bookmarkStart w:id="82" w:name="_Toc86338828"/>
      <w:r w:rsidRPr="002C7BE0">
        <w:t xml:space="preserve">A serious misrepresentation which induces </w:t>
      </w:r>
      <w:r>
        <w:t>The Trust</w:t>
      </w:r>
      <w:r w:rsidRPr="0034252F">
        <w:t xml:space="preserve"> </w:t>
      </w:r>
      <w:r w:rsidRPr="002C7BE0">
        <w:t xml:space="preserve">to </w:t>
      </w:r>
      <w:proofErr w:type="gramStart"/>
      <w:r w:rsidRPr="002C7BE0">
        <w:t>enter into</w:t>
      </w:r>
      <w:proofErr w:type="gramEnd"/>
      <w:r w:rsidRPr="002C7BE0">
        <w:t xml:space="preserve"> a contract may have the following consequences for the signatory that made the misrepresentation:</w:t>
      </w:r>
      <w:bookmarkEnd w:id="82"/>
      <w:r w:rsidRPr="002C7BE0">
        <w:t xml:space="preserve"> </w:t>
      </w:r>
    </w:p>
    <w:p w14:paraId="76E2D7D7" w14:textId="226DE78F" w:rsidR="00AB6AE2" w:rsidRPr="00142277" w:rsidRDefault="00AB6AE2" w:rsidP="00AB6AE2">
      <w:pPr>
        <w:pStyle w:val="Level3"/>
        <w:numPr>
          <w:ilvl w:val="2"/>
          <w:numId w:val="4"/>
        </w:numPr>
      </w:pPr>
      <w:bookmarkStart w:id="83" w:name="_Toc86338829"/>
      <w:r w:rsidRPr="00102E6E">
        <w:lastRenderedPageBreak/>
        <w:t xml:space="preserve">The </w:t>
      </w:r>
      <w:r>
        <w:t>potential supplier</w:t>
      </w:r>
      <w:r w:rsidRPr="00102E6E">
        <w:t xml:space="preserve"> may be excluded from bidding for contracts for three years, under </w:t>
      </w:r>
      <w:r>
        <w:t>R</w:t>
      </w:r>
      <w:r w:rsidRPr="00102E6E">
        <w:t>egulation 57(8)(h)(</w:t>
      </w:r>
      <w:proofErr w:type="spellStart"/>
      <w:r w:rsidRPr="00102E6E">
        <w:t>i</w:t>
      </w:r>
      <w:proofErr w:type="spellEnd"/>
      <w:r w:rsidRPr="00102E6E">
        <w:t xml:space="preserve">) of the </w:t>
      </w:r>
      <w:r w:rsidR="00E41E6B" w:rsidRPr="00E41E6B">
        <w:t>Public Contracts Regulations 2015</w:t>
      </w:r>
      <w:r>
        <w:t>.</w:t>
      </w:r>
      <w:bookmarkEnd w:id="83"/>
    </w:p>
    <w:p w14:paraId="777F545B" w14:textId="77777777" w:rsidR="00AB6AE2" w:rsidRPr="00142277" w:rsidRDefault="00AB6AE2" w:rsidP="00AB6AE2">
      <w:pPr>
        <w:pStyle w:val="Level3"/>
        <w:numPr>
          <w:ilvl w:val="2"/>
          <w:numId w:val="4"/>
        </w:numPr>
      </w:pPr>
      <w:bookmarkStart w:id="84" w:name="_Toc86338830"/>
      <w:r>
        <w:t>The Trust</w:t>
      </w:r>
      <w:r w:rsidRPr="0034252F">
        <w:t xml:space="preserve"> </w:t>
      </w:r>
      <w:r w:rsidRPr="002D2D49">
        <w:t xml:space="preserve">may sue the </w:t>
      </w:r>
      <w:r>
        <w:t>supplier</w:t>
      </w:r>
      <w:r w:rsidRPr="002D2D49">
        <w:t xml:space="preserve"> for damages and may rescind the contract under the Misrepresentation Act 1967.</w:t>
      </w:r>
      <w:bookmarkEnd w:id="84"/>
      <w:r w:rsidRPr="002D2D49">
        <w:t xml:space="preserve"> </w:t>
      </w:r>
    </w:p>
    <w:p w14:paraId="6AD40DA2" w14:textId="4AD58DF0" w:rsidR="00AB6AE2" w:rsidRPr="002C7BE0" w:rsidRDefault="00AB6AE2" w:rsidP="00AB6AE2">
      <w:pPr>
        <w:pStyle w:val="Level2"/>
      </w:pPr>
      <w:bookmarkStart w:id="85" w:name="_Toc86338831"/>
      <w:r w:rsidRPr="002C7BE0">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bookmarkEnd w:id="85"/>
      <w:r w:rsidRPr="002C7BE0">
        <w:t xml:space="preserve"> </w:t>
      </w:r>
    </w:p>
    <w:p w14:paraId="641BF350" w14:textId="46BD2D04" w:rsidR="00AB6AE2" w:rsidRPr="002C7BE0" w:rsidRDefault="00AB6AE2" w:rsidP="00AB6AE2">
      <w:pPr>
        <w:pStyle w:val="Level2"/>
      </w:pPr>
      <w:bookmarkStart w:id="86" w:name="_Toc86338832"/>
      <w:r w:rsidRPr="002C7BE0">
        <w:t xml:space="preserve">If there is a conviction, then the company must be excluded from procurement for five years under Regulation 57(1) of the </w:t>
      </w:r>
      <w:r w:rsidR="00C0201E" w:rsidRPr="00E41E6B">
        <w:t>Public Contracts Regulations 2015</w:t>
      </w:r>
      <w:r w:rsidR="00C0201E" w:rsidRPr="002C7BE0">
        <w:t xml:space="preserve"> </w:t>
      </w:r>
      <w:r w:rsidRPr="002C7BE0">
        <w:t>(subject to self-cleaning).</w:t>
      </w:r>
      <w:bookmarkEnd w:id="86"/>
      <w:r w:rsidRPr="002C7BE0">
        <w:t xml:space="preserve"> </w:t>
      </w:r>
    </w:p>
    <w:p w14:paraId="6800819A" w14:textId="16BB4137" w:rsidR="0043567C" w:rsidRPr="007B5F23" w:rsidRDefault="0043567C" w:rsidP="00AB6AE2">
      <w:pPr>
        <w:pStyle w:val="Level1"/>
        <w:rPr>
          <w:rFonts w:cstheme="minorHAnsi"/>
        </w:rPr>
      </w:pPr>
      <w:bookmarkStart w:id="87" w:name="_Toc118472354"/>
      <w:r w:rsidRPr="0072029E">
        <w:t xml:space="preserve">Tendering </w:t>
      </w:r>
      <w:bookmarkEnd w:id="57"/>
      <w:bookmarkEnd w:id="58"/>
      <w:bookmarkEnd w:id="59"/>
      <w:bookmarkEnd w:id="60"/>
      <w:r w:rsidR="00C0201E">
        <w:t>Guidance</w:t>
      </w:r>
      <w:bookmarkEnd w:id="87"/>
    </w:p>
    <w:p w14:paraId="435F1888" w14:textId="014F670C" w:rsidR="00391076" w:rsidRPr="0067456A" w:rsidRDefault="00391076" w:rsidP="00AB6AE2">
      <w:pPr>
        <w:pStyle w:val="Level2"/>
      </w:pPr>
      <w:bookmarkStart w:id="88" w:name="_Toc86338707"/>
      <w:bookmarkStart w:id="89" w:name="_Toc44515851"/>
      <w:r w:rsidRPr="0067456A">
        <w:t xml:space="preserve">Tenderers should submit their expression of interest in </w:t>
      </w:r>
      <w:r w:rsidR="00AC1D3A" w:rsidRPr="0067456A">
        <w:t>the framework electronically through</w:t>
      </w:r>
      <w:r w:rsidR="00C06D2A">
        <w:t xml:space="preserve"> </w:t>
      </w:r>
      <w:bookmarkEnd w:id="88"/>
      <w:r w:rsidR="00A52DB6">
        <w:fldChar w:fldCharType="begin"/>
      </w:r>
      <w:r w:rsidR="00A52DB6">
        <w:instrText xml:space="preserve"> HYPERLINK "</w:instrText>
      </w:r>
      <w:r w:rsidR="00A52DB6" w:rsidRPr="002E45C9">
        <w:instrText>https://cimple.uk</w:instrText>
      </w:r>
      <w:r w:rsidR="00A52DB6">
        <w:instrText xml:space="preserve">" </w:instrText>
      </w:r>
      <w:r w:rsidR="00A52DB6">
        <w:fldChar w:fldCharType="separate"/>
      </w:r>
      <w:r w:rsidR="00A52DB6" w:rsidRPr="006E2893">
        <w:rPr>
          <w:rStyle w:val="Hyperlink"/>
        </w:rPr>
        <w:t>https://cimple.uk</w:t>
      </w:r>
      <w:r w:rsidR="00A52DB6">
        <w:fldChar w:fldCharType="end"/>
      </w:r>
      <w:r w:rsidR="00A52DB6">
        <w:t>.</w:t>
      </w:r>
    </w:p>
    <w:p w14:paraId="492F1507" w14:textId="5B15C5D3" w:rsidR="000C49A1" w:rsidRPr="0067456A" w:rsidRDefault="00DF1DDE" w:rsidP="00AB6AE2">
      <w:pPr>
        <w:pStyle w:val="Level2"/>
      </w:pPr>
      <w:bookmarkStart w:id="90" w:name="_Toc86338708"/>
      <w:r w:rsidRPr="0067456A">
        <w:t xml:space="preserve">Tenders must be submitted in accordance with the instructions contained within this ITT. Any </w:t>
      </w:r>
      <w:r w:rsidR="004518CC" w:rsidRPr="0067456A">
        <w:t>t</w:t>
      </w:r>
      <w:r w:rsidRPr="0067456A">
        <w:t xml:space="preserve">enders not complying with the requirements of the tender in any way may be rejected by </w:t>
      </w:r>
      <w:r w:rsidR="006F0FFA">
        <w:t>T</w:t>
      </w:r>
      <w:r w:rsidR="006F0FFA" w:rsidRPr="007148B1">
        <w:t xml:space="preserve">he </w:t>
      </w:r>
      <w:r w:rsidR="006F0FFA">
        <w:t>T</w:t>
      </w:r>
      <w:r w:rsidR="006F0FFA" w:rsidRPr="007148B1">
        <w:t>rust</w:t>
      </w:r>
      <w:r w:rsidRPr="0067456A">
        <w:t xml:space="preserve">, whose decision will be final. </w:t>
      </w:r>
      <w:r w:rsidR="00BE25D5" w:rsidRPr="0067456A">
        <w:t xml:space="preserve">All </w:t>
      </w:r>
      <w:r w:rsidR="004518CC" w:rsidRPr="0067456A">
        <w:t>t</w:t>
      </w:r>
      <w:r w:rsidR="00BE25D5" w:rsidRPr="0067456A">
        <w:t>ender documents must be completed in their entirety.</w:t>
      </w:r>
      <w:bookmarkStart w:id="91" w:name="_Toc44515852"/>
      <w:bookmarkEnd w:id="89"/>
      <w:bookmarkEnd w:id="90"/>
    </w:p>
    <w:p w14:paraId="79FFA6ED" w14:textId="7822A86E" w:rsidR="000C49A1" w:rsidRDefault="00DF1DDE" w:rsidP="00AB6AE2">
      <w:pPr>
        <w:pStyle w:val="Level2"/>
      </w:pPr>
      <w:bookmarkStart w:id="92" w:name="_Toc86338709"/>
      <w:r w:rsidRPr="0067456A">
        <w:t>Tenderers should read all instructions and guidance contained within this ITT documentation carefully before completing the required sections. Failure to comply with these requirements may result in the rejection of your tender.</w:t>
      </w:r>
      <w:bookmarkStart w:id="93" w:name="_Toc44515853"/>
      <w:bookmarkEnd w:id="91"/>
      <w:bookmarkEnd w:id="92"/>
    </w:p>
    <w:p w14:paraId="13B4905C" w14:textId="3B64AC52" w:rsidR="00614CF9" w:rsidRPr="0067456A" w:rsidRDefault="00614CF9" w:rsidP="00614CF9">
      <w:pPr>
        <w:pStyle w:val="Level2"/>
      </w:pPr>
      <w:bookmarkStart w:id="94" w:name="_Toc44515858"/>
      <w:bookmarkStart w:id="95" w:name="_Toc86338715"/>
      <w:r w:rsidRPr="0067456A">
        <w:t xml:space="preserve">Your tender will only be accepted for consideration if you complete it strictly in accordance with these instructions, and you do not impose any additional qualifications or conditions. </w:t>
      </w:r>
      <w:r>
        <w:t>T</w:t>
      </w:r>
      <w:r w:rsidRPr="007148B1">
        <w:t xml:space="preserve">he </w:t>
      </w:r>
      <w:r>
        <w:t>T</w:t>
      </w:r>
      <w:r w:rsidRPr="007148B1">
        <w:t>rust</w:t>
      </w:r>
      <w:r>
        <w:t>’s</w:t>
      </w:r>
      <w:r w:rsidRPr="0067456A">
        <w:t xml:space="preserve"> decision on whether a tender is acceptable will be final and the </w:t>
      </w:r>
      <w:r>
        <w:t>T</w:t>
      </w:r>
      <w:r w:rsidRPr="0067456A">
        <w:t xml:space="preserve">enderer concerned will not be consulted. If a tender is excluded from further consideration the </w:t>
      </w:r>
      <w:r>
        <w:t>T</w:t>
      </w:r>
      <w:r w:rsidRPr="0067456A">
        <w:t>enderer concerned will be notified as such.</w:t>
      </w:r>
      <w:bookmarkEnd w:id="94"/>
      <w:r w:rsidRPr="0067456A">
        <w:t xml:space="preserve"> </w:t>
      </w:r>
      <w:r>
        <w:t>T</w:t>
      </w:r>
      <w:r w:rsidRPr="007148B1">
        <w:t xml:space="preserve">he </w:t>
      </w:r>
      <w:r>
        <w:t>T</w:t>
      </w:r>
      <w:r w:rsidRPr="007148B1">
        <w:t>rust</w:t>
      </w:r>
      <w:r w:rsidRPr="0067456A">
        <w:t xml:space="preserve"> may reserve the right to clarify any statements made by a </w:t>
      </w:r>
      <w:r>
        <w:t>T</w:t>
      </w:r>
      <w:r w:rsidRPr="0067456A">
        <w:t>enderer</w:t>
      </w:r>
      <w:bookmarkEnd w:id="95"/>
      <w:r>
        <w:t>.</w:t>
      </w:r>
    </w:p>
    <w:p w14:paraId="1DDDEFD2" w14:textId="601EA632" w:rsidR="000C49A1" w:rsidRPr="0067456A" w:rsidRDefault="00BE25D5" w:rsidP="00AB6AE2">
      <w:pPr>
        <w:pStyle w:val="Level2"/>
      </w:pPr>
      <w:bookmarkStart w:id="96" w:name="_Toc86338710"/>
      <w:proofErr w:type="gramStart"/>
      <w:r w:rsidRPr="0067456A">
        <w:t xml:space="preserve">By submitting a </w:t>
      </w:r>
      <w:r w:rsidR="004518CC" w:rsidRPr="0067456A">
        <w:t>t</w:t>
      </w:r>
      <w:r w:rsidRPr="0067456A">
        <w:t>ender, it</w:t>
      </w:r>
      <w:proofErr w:type="gramEnd"/>
      <w:r w:rsidRPr="0067456A">
        <w:t xml:space="preserve"> will be assumed that you have agreed that your tender will remain open for acceptance for a minimum of 90 days from the closing date.</w:t>
      </w:r>
      <w:bookmarkStart w:id="97" w:name="_Toc44515854"/>
      <w:bookmarkEnd w:id="93"/>
      <w:bookmarkEnd w:id="96"/>
    </w:p>
    <w:p w14:paraId="3CC6B303" w14:textId="3F3C637C" w:rsidR="000C49A1" w:rsidRPr="0067456A" w:rsidRDefault="00BE25D5" w:rsidP="00AB6AE2">
      <w:pPr>
        <w:pStyle w:val="Level2"/>
      </w:pPr>
      <w:bookmarkStart w:id="98" w:name="_Toc44515855"/>
      <w:bookmarkStart w:id="99" w:name="_Toc86338712"/>
      <w:bookmarkEnd w:id="97"/>
      <w:r w:rsidRPr="0067456A">
        <w:t xml:space="preserve">Tenders must not be conditional, qualified in any way, or be accompanied by any statements which may be construed as making them equivocal or considered in a different manner to </w:t>
      </w:r>
      <w:r w:rsidR="006A0B8C" w:rsidRPr="0067456A">
        <w:t xml:space="preserve">those of other </w:t>
      </w:r>
      <w:r w:rsidR="009A5D65" w:rsidRPr="0067456A">
        <w:t>t</w:t>
      </w:r>
      <w:r w:rsidR="006A0B8C" w:rsidRPr="0067456A">
        <w:t>enderers.</w:t>
      </w:r>
      <w:bookmarkStart w:id="100" w:name="_Toc44515856"/>
      <w:bookmarkEnd w:id="98"/>
      <w:bookmarkEnd w:id="99"/>
    </w:p>
    <w:p w14:paraId="393ACD95" w14:textId="2FC903A7" w:rsidR="000C49A1" w:rsidRPr="0067456A" w:rsidRDefault="006F0FFA" w:rsidP="00AB6AE2">
      <w:pPr>
        <w:pStyle w:val="Level2"/>
      </w:pPr>
      <w:bookmarkStart w:id="101" w:name="_Toc86338713"/>
      <w:r>
        <w:t>T</w:t>
      </w:r>
      <w:r w:rsidRPr="007148B1">
        <w:t xml:space="preserve">he </w:t>
      </w:r>
      <w:r>
        <w:t>T</w:t>
      </w:r>
      <w:r w:rsidRPr="007148B1">
        <w:t>rust</w:t>
      </w:r>
      <w:r w:rsidRPr="0067456A">
        <w:t xml:space="preserve"> </w:t>
      </w:r>
      <w:r w:rsidR="006A0B8C" w:rsidRPr="0067456A">
        <w:t>retain</w:t>
      </w:r>
      <w:r>
        <w:t>s</w:t>
      </w:r>
      <w:r w:rsidR="006A0B8C" w:rsidRPr="0067456A">
        <w:t xml:space="preserve"> the right to seek clarification from any </w:t>
      </w:r>
      <w:r w:rsidR="00422389">
        <w:t>T</w:t>
      </w:r>
      <w:r w:rsidR="006A0B8C" w:rsidRPr="0067456A">
        <w:t xml:space="preserve">enderer where they believe that an error, </w:t>
      </w:r>
      <w:r w:rsidR="009336AF" w:rsidRPr="0067456A">
        <w:t>omission,</w:t>
      </w:r>
      <w:r w:rsidR="006A0B8C" w:rsidRPr="0067456A">
        <w:t xml:space="preserve"> or mistake has been made.</w:t>
      </w:r>
      <w:bookmarkStart w:id="102" w:name="_Toc44515857"/>
      <w:bookmarkEnd w:id="100"/>
      <w:bookmarkEnd w:id="101"/>
    </w:p>
    <w:p w14:paraId="379AC9D1" w14:textId="6D344F08" w:rsidR="000C49A1" w:rsidRPr="0067456A" w:rsidRDefault="006F0FFA" w:rsidP="00AB6AE2">
      <w:pPr>
        <w:pStyle w:val="Level2"/>
      </w:pPr>
      <w:bookmarkStart w:id="103" w:name="_Toc44515859"/>
      <w:bookmarkStart w:id="104" w:name="_Toc86338716"/>
      <w:bookmarkEnd w:id="102"/>
      <w:r>
        <w:t>T</w:t>
      </w:r>
      <w:r w:rsidRPr="007148B1">
        <w:t xml:space="preserve">he </w:t>
      </w:r>
      <w:r>
        <w:t>T</w:t>
      </w:r>
      <w:r w:rsidRPr="007148B1">
        <w:t>rust</w:t>
      </w:r>
      <w:r w:rsidRPr="0067456A">
        <w:t xml:space="preserve"> </w:t>
      </w:r>
      <w:r>
        <w:t xml:space="preserve">does </w:t>
      </w:r>
      <w:r w:rsidR="00D03249" w:rsidRPr="0067456A">
        <w:t xml:space="preserve">not bind </w:t>
      </w:r>
      <w:r>
        <w:t>itself</w:t>
      </w:r>
      <w:r w:rsidR="00C221F9" w:rsidRPr="0067456A">
        <w:t xml:space="preserve"> </w:t>
      </w:r>
      <w:r w:rsidR="00D03249" w:rsidRPr="0067456A">
        <w:t xml:space="preserve">to accept any </w:t>
      </w:r>
      <w:r w:rsidR="004518CC" w:rsidRPr="0067456A">
        <w:t>t</w:t>
      </w:r>
      <w:r w:rsidR="00D03249" w:rsidRPr="0067456A">
        <w:t xml:space="preserve">ender and shall not be liable for any loss or expense incurred by any </w:t>
      </w:r>
      <w:r w:rsidR="00422389">
        <w:t>T</w:t>
      </w:r>
      <w:r w:rsidR="00D03249" w:rsidRPr="0067456A">
        <w:t xml:space="preserve">enderer in the production of the </w:t>
      </w:r>
      <w:r w:rsidR="00DE633C" w:rsidRPr="0067456A">
        <w:t>t</w:t>
      </w:r>
      <w:r w:rsidR="00D03249" w:rsidRPr="0067456A">
        <w:t xml:space="preserve">ender or </w:t>
      </w:r>
      <w:r w:rsidR="009A5D65" w:rsidRPr="0067456A">
        <w:t>because of</w:t>
      </w:r>
      <w:r w:rsidR="00D03249" w:rsidRPr="0067456A">
        <w:t xml:space="preserve"> </w:t>
      </w:r>
      <w:r w:rsidR="009A5D65" w:rsidRPr="0067456A">
        <w:t>their</w:t>
      </w:r>
      <w:r w:rsidR="00D03249" w:rsidRPr="0067456A">
        <w:t xml:space="preserve"> decision not to award the </w:t>
      </w:r>
      <w:r w:rsidR="00DE633C" w:rsidRPr="0067456A">
        <w:t>c</w:t>
      </w:r>
      <w:r w:rsidR="00D03249" w:rsidRPr="0067456A">
        <w:t xml:space="preserve">ontract to any </w:t>
      </w:r>
      <w:r w:rsidR="00422389">
        <w:t>T</w:t>
      </w:r>
      <w:r w:rsidR="00D03249" w:rsidRPr="0067456A">
        <w:t>enderer.</w:t>
      </w:r>
      <w:r w:rsidR="006B4563" w:rsidRPr="0067456A">
        <w:t xml:space="preserve"> </w:t>
      </w:r>
      <w:r>
        <w:t>T</w:t>
      </w:r>
      <w:r w:rsidRPr="007148B1">
        <w:t xml:space="preserve">he </w:t>
      </w:r>
      <w:r>
        <w:t>T</w:t>
      </w:r>
      <w:r w:rsidRPr="007148B1">
        <w:t>rust</w:t>
      </w:r>
      <w:r w:rsidRPr="0067456A">
        <w:t xml:space="preserve"> </w:t>
      </w:r>
      <w:r w:rsidR="006B4563" w:rsidRPr="0067456A">
        <w:t>reserv</w:t>
      </w:r>
      <w:r w:rsidR="00C221F9" w:rsidRPr="0067456A">
        <w:t>e</w:t>
      </w:r>
      <w:r>
        <w:t>s</w:t>
      </w:r>
      <w:r w:rsidR="006B4563" w:rsidRPr="0067456A">
        <w:t xml:space="preserve"> the right to accept or reject any written </w:t>
      </w:r>
      <w:r w:rsidR="00DE633C" w:rsidRPr="0067456A">
        <w:t>t</w:t>
      </w:r>
      <w:r w:rsidR="006B4563" w:rsidRPr="0067456A">
        <w:t xml:space="preserve">ender and to abort the tender process and reject all written </w:t>
      </w:r>
      <w:r w:rsidR="00DE633C" w:rsidRPr="0067456A">
        <w:t>t</w:t>
      </w:r>
      <w:r w:rsidR="006B4563" w:rsidRPr="0067456A">
        <w:t xml:space="preserve">enders at any time prior to award of contract without incurring any liability to the affected </w:t>
      </w:r>
      <w:r w:rsidR="009A5D65" w:rsidRPr="0067456A">
        <w:t>t</w:t>
      </w:r>
      <w:r w:rsidR="006B4563" w:rsidRPr="0067456A">
        <w:t>enderers.</w:t>
      </w:r>
      <w:bookmarkStart w:id="105" w:name="_Toc44515860"/>
      <w:bookmarkEnd w:id="103"/>
      <w:bookmarkEnd w:id="104"/>
    </w:p>
    <w:p w14:paraId="24BFCE2F" w14:textId="6D133C35" w:rsidR="000C49A1" w:rsidRPr="0067456A" w:rsidRDefault="002E6AB8" w:rsidP="00AB6AE2">
      <w:pPr>
        <w:pStyle w:val="Level2"/>
      </w:pPr>
      <w:bookmarkStart w:id="106" w:name="_Toc86338717"/>
      <w:r w:rsidRPr="0067456A">
        <w:t xml:space="preserve">The </w:t>
      </w:r>
      <w:r w:rsidR="00DE633C" w:rsidRPr="0067456A">
        <w:t>t</w:t>
      </w:r>
      <w:r w:rsidRPr="0067456A">
        <w:t xml:space="preserve">ender </w:t>
      </w:r>
      <w:r w:rsidR="00DE633C" w:rsidRPr="0067456A">
        <w:t>p</w:t>
      </w:r>
      <w:r w:rsidRPr="0067456A">
        <w:t xml:space="preserve">rocess has been designed to ensure that all </w:t>
      </w:r>
      <w:r w:rsidR="00422389">
        <w:t>T</w:t>
      </w:r>
      <w:r w:rsidRPr="0067456A">
        <w:t>enderers are given equal and fair consideration.</w:t>
      </w:r>
      <w:r w:rsidR="007A6BB6" w:rsidRPr="0067456A">
        <w:t xml:space="preserve"> </w:t>
      </w:r>
      <w:r w:rsidRPr="0067456A">
        <w:t xml:space="preserve">It is important therefore that </w:t>
      </w:r>
      <w:r w:rsidR="00422389">
        <w:t>T</w:t>
      </w:r>
      <w:r w:rsidRPr="0067456A">
        <w:t xml:space="preserve">enderers provide all the information asked for in the format and order specified. Tenderers are asked to not make changes to any part of the </w:t>
      </w:r>
      <w:r w:rsidR="00DE633C" w:rsidRPr="0067456A">
        <w:t>t</w:t>
      </w:r>
      <w:r w:rsidRPr="0067456A">
        <w:t xml:space="preserve">ender document. Failure to adhere to this request may invalidate your </w:t>
      </w:r>
      <w:r w:rsidR="00DE633C" w:rsidRPr="0067456A">
        <w:t>t</w:t>
      </w:r>
      <w:r w:rsidRPr="0067456A">
        <w:t>ender.</w:t>
      </w:r>
      <w:bookmarkStart w:id="107" w:name="_Toc44515861"/>
      <w:bookmarkEnd w:id="105"/>
      <w:bookmarkEnd w:id="106"/>
    </w:p>
    <w:p w14:paraId="26692186" w14:textId="265C49D7" w:rsidR="000C49A1" w:rsidRPr="00955DB4" w:rsidRDefault="002E6AB8" w:rsidP="00AB6AE2">
      <w:pPr>
        <w:pStyle w:val="Level2"/>
      </w:pPr>
      <w:bookmarkStart w:id="108" w:name="_Toc86338718"/>
      <w:r w:rsidRPr="0067456A">
        <w:lastRenderedPageBreak/>
        <w:t xml:space="preserve">You must complete the </w:t>
      </w:r>
      <w:r w:rsidR="00776B64" w:rsidRPr="0067456A">
        <w:t xml:space="preserve">ITT </w:t>
      </w:r>
      <w:r w:rsidRPr="0067456A">
        <w:t xml:space="preserve">in English and in the format outlined in the </w:t>
      </w:r>
      <w:r w:rsidR="004451D4" w:rsidRPr="0067456A">
        <w:t>Supplier</w:t>
      </w:r>
      <w:r w:rsidRPr="0067456A">
        <w:t xml:space="preserve"> ITT </w:t>
      </w:r>
      <w:r w:rsidR="00F32842">
        <w:t xml:space="preserve">Award </w:t>
      </w:r>
      <w:r w:rsidRPr="0067456A">
        <w:t xml:space="preserve">Questionnaire and return it via the online </w:t>
      </w:r>
      <w:r w:rsidR="00A217AF" w:rsidRPr="0067456A">
        <w:t>submission method, to arrive no</w:t>
      </w:r>
      <w:r w:rsidRPr="0067456A">
        <w:t xml:space="preserve"> later than the date </w:t>
      </w:r>
      <w:r w:rsidR="00C0201E">
        <w:t xml:space="preserve"> and time </w:t>
      </w:r>
      <w:r w:rsidRPr="0067456A">
        <w:t xml:space="preserve">specified </w:t>
      </w:r>
      <w:r w:rsidR="005B60C9" w:rsidRPr="0067456A">
        <w:t xml:space="preserve">in </w:t>
      </w:r>
      <w:r w:rsidR="00955DB4">
        <w:t xml:space="preserve">the </w:t>
      </w:r>
      <w:r w:rsidR="00955DB4" w:rsidRPr="002C0996">
        <w:t xml:space="preserve">Summary </w:t>
      </w:r>
      <w:r w:rsidR="002C0996" w:rsidRPr="002C0996">
        <w:t>t</w:t>
      </w:r>
      <w:r w:rsidR="00955DB4" w:rsidRPr="002C0996">
        <w:t>able</w:t>
      </w:r>
      <w:bookmarkStart w:id="109" w:name="_Toc44515862"/>
      <w:bookmarkEnd w:id="107"/>
      <w:bookmarkEnd w:id="108"/>
      <w:r w:rsidR="002C0996" w:rsidRPr="002C0996">
        <w:t>.</w:t>
      </w:r>
    </w:p>
    <w:p w14:paraId="48D8888E" w14:textId="1697D6CA" w:rsidR="000C49A1" w:rsidRPr="0067456A" w:rsidRDefault="00A20CCF" w:rsidP="00AB6AE2">
      <w:pPr>
        <w:pStyle w:val="Level2"/>
      </w:pPr>
      <w:bookmarkStart w:id="110" w:name="_Toc86338719"/>
      <w:r w:rsidRPr="00955DB4">
        <w:t>If it is nece</w:t>
      </w:r>
      <w:r w:rsidRPr="0067456A">
        <w:t xml:space="preserve">ssary for you to refer to another document that you are submitting with your tender, it is your responsibility to make sure that you explain this in a way that is easy to follow and identifies the name of the document or file, and the page and paragraph that deals with the question. If the reference is ambiguous or </w:t>
      </w:r>
      <w:r w:rsidR="00BD4D09">
        <w:t>The Trust</w:t>
      </w:r>
      <w:r w:rsidR="00C221F9" w:rsidRPr="0067456A">
        <w:t xml:space="preserve"> </w:t>
      </w:r>
      <w:r w:rsidRPr="0067456A">
        <w:t xml:space="preserve">cannot adequately find your answer, </w:t>
      </w:r>
      <w:r w:rsidR="00A217AF" w:rsidRPr="0067456A">
        <w:t>it</w:t>
      </w:r>
      <w:r w:rsidRPr="0067456A">
        <w:t xml:space="preserve"> will be at your risk, and is likely to have a detrimental effect on the evaluation of your tender. </w:t>
      </w:r>
      <w:r w:rsidR="009A5D65" w:rsidRPr="0067456A">
        <w:t>We</w:t>
      </w:r>
      <w:r w:rsidR="00C221F9" w:rsidRPr="0067456A">
        <w:t xml:space="preserve"> </w:t>
      </w:r>
      <w:r w:rsidRPr="0067456A">
        <w:t xml:space="preserve">reserve the right to seek clarification from any </w:t>
      </w:r>
      <w:r w:rsidR="00C221F9" w:rsidRPr="0067456A">
        <w:t>s</w:t>
      </w:r>
      <w:r w:rsidR="004451D4" w:rsidRPr="0067456A">
        <w:t>upplier</w:t>
      </w:r>
      <w:r w:rsidRPr="0067456A">
        <w:t xml:space="preserve"> where it cannot adequately find the information signposted.</w:t>
      </w:r>
      <w:bookmarkStart w:id="111" w:name="_Toc44515863"/>
      <w:bookmarkEnd w:id="109"/>
      <w:bookmarkEnd w:id="110"/>
    </w:p>
    <w:p w14:paraId="27272161" w14:textId="357547B8" w:rsidR="000C49A1" w:rsidRPr="0067456A" w:rsidRDefault="00A20CCF" w:rsidP="00AB6AE2">
      <w:pPr>
        <w:pStyle w:val="Level2"/>
      </w:pPr>
      <w:bookmarkStart w:id="112" w:name="_Toc86338720"/>
      <w:r w:rsidRPr="0067456A">
        <w:t xml:space="preserve">If there is any question in the </w:t>
      </w:r>
      <w:r w:rsidR="00F32842">
        <w:t xml:space="preserve">Award </w:t>
      </w:r>
      <w:r w:rsidRPr="0067456A">
        <w:t xml:space="preserve">Questionnaire you cannot answer or any requested information you cannot provide, you should give a full explanation of the reasons why within your </w:t>
      </w:r>
      <w:r w:rsidR="00A046AB" w:rsidRPr="0067456A">
        <w:t>t</w:t>
      </w:r>
      <w:r w:rsidRPr="0067456A">
        <w:t xml:space="preserve">ender </w:t>
      </w:r>
      <w:r w:rsidR="00A046AB" w:rsidRPr="0067456A">
        <w:t>d</w:t>
      </w:r>
      <w:r w:rsidRPr="0067456A">
        <w:t>ocumentation submission.</w:t>
      </w:r>
      <w:bookmarkStart w:id="113" w:name="_Toc44515864"/>
      <w:bookmarkEnd w:id="111"/>
      <w:bookmarkEnd w:id="112"/>
    </w:p>
    <w:p w14:paraId="3DD0797F" w14:textId="3B6B2151" w:rsidR="0043567C" w:rsidRDefault="00A20CCF" w:rsidP="00AB6AE2">
      <w:pPr>
        <w:pStyle w:val="Level2"/>
      </w:pPr>
      <w:bookmarkStart w:id="114" w:name="_Toc86338721"/>
      <w:r w:rsidRPr="0067456A">
        <w:t>All documents submitted should be in the same file format and layout as the supplied documents. It is important that the documents remain in the same format and are not converted to PDFs or any other archival file format.</w:t>
      </w:r>
      <w:bookmarkEnd w:id="113"/>
      <w:bookmarkEnd w:id="114"/>
    </w:p>
    <w:p w14:paraId="361890CB" w14:textId="77777777" w:rsidR="00C0201E" w:rsidRPr="0067456A" w:rsidRDefault="00C0201E" w:rsidP="00C0201E">
      <w:pPr>
        <w:pStyle w:val="Level2"/>
      </w:pPr>
      <w:bookmarkStart w:id="115" w:name="_Toc44515879"/>
      <w:bookmarkStart w:id="116" w:name="_Toc86338736"/>
      <w:r w:rsidRPr="0067456A">
        <w:t xml:space="preserve">Tenders must be based upon the conditions set out in Volume </w:t>
      </w:r>
      <w:r>
        <w:t>2</w:t>
      </w:r>
      <w:r w:rsidRPr="0067456A">
        <w:t xml:space="preserve"> </w:t>
      </w:r>
      <w:r>
        <w:t xml:space="preserve">Selection Questionnaire </w:t>
      </w:r>
      <w:r w:rsidRPr="0067456A">
        <w:t xml:space="preserve">and </w:t>
      </w:r>
      <w:bookmarkEnd w:id="115"/>
      <w:r>
        <w:t>Volume 3 Award Questionnaire</w:t>
      </w:r>
      <w:r w:rsidRPr="0067456A">
        <w:t>.</w:t>
      </w:r>
      <w:bookmarkStart w:id="117" w:name="_Toc44515880"/>
      <w:bookmarkEnd w:id="116"/>
    </w:p>
    <w:p w14:paraId="67777AD5" w14:textId="77777777" w:rsidR="00C0201E" w:rsidRPr="0067456A" w:rsidRDefault="00C0201E" w:rsidP="00C0201E">
      <w:pPr>
        <w:pStyle w:val="Level2"/>
      </w:pPr>
      <w:bookmarkStart w:id="118" w:name="_Toc86338737"/>
      <w:r w:rsidRPr="0067456A">
        <w:t>Any information provided that has not been asked for will not be taken into consideration.</w:t>
      </w:r>
      <w:bookmarkStart w:id="119" w:name="_Toc44515881"/>
      <w:bookmarkEnd w:id="117"/>
      <w:bookmarkEnd w:id="118"/>
    </w:p>
    <w:p w14:paraId="6DB03B55" w14:textId="77777777" w:rsidR="00C0201E" w:rsidRPr="0067456A" w:rsidRDefault="00C0201E" w:rsidP="00C0201E">
      <w:pPr>
        <w:pStyle w:val="Level2"/>
      </w:pPr>
      <w:bookmarkStart w:id="120" w:name="_Toc86338738"/>
      <w:r w:rsidRPr="0067456A">
        <w:t xml:space="preserve">The tender documents must not be amended by the </w:t>
      </w:r>
      <w:r>
        <w:t>T</w:t>
      </w:r>
      <w:r w:rsidRPr="0067456A">
        <w:t>enderer; any modifications considered to be expedient should form the subject of a separate part of the tender submission and marked ‘Alternative Proposals’.</w:t>
      </w:r>
      <w:bookmarkEnd w:id="119"/>
      <w:bookmarkEnd w:id="120"/>
    </w:p>
    <w:p w14:paraId="46B7153F" w14:textId="77777777" w:rsidR="00C0201E" w:rsidRPr="007B5F23" w:rsidRDefault="00C0201E" w:rsidP="00C0201E">
      <w:pPr>
        <w:pStyle w:val="Level2"/>
      </w:pPr>
      <w:bookmarkStart w:id="121" w:name="_Toc44515900"/>
      <w:bookmarkStart w:id="122" w:name="_Toc86338749"/>
      <w:r>
        <w:t>Tenderers should a</w:t>
      </w:r>
      <w:r w:rsidRPr="007B5F23">
        <w:t>nswer the questions as written in the questionnaire and do not include general marketing, promotional material, or company policies in response to any of the questions unless specifically requested to do so, as we will only consider and evaluate attached documents where the question expressly asks for them.</w:t>
      </w:r>
      <w:bookmarkStart w:id="123" w:name="_Toc44515901"/>
      <w:bookmarkEnd w:id="121"/>
      <w:bookmarkEnd w:id="122"/>
    </w:p>
    <w:p w14:paraId="78B6E893" w14:textId="77777777" w:rsidR="00C0201E" w:rsidRPr="007B5F23" w:rsidRDefault="00C0201E" w:rsidP="00C0201E">
      <w:pPr>
        <w:pStyle w:val="Level2"/>
      </w:pPr>
      <w:bookmarkStart w:id="124" w:name="_Toc86338750"/>
      <w:r w:rsidRPr="007B5F23">
        <w:t xml:space="preserve">All requested enclosures and supporting documents should be clearly marked with the sections and questions to which they relate. Where policies are requested and included, </w:t>
      </w:r>
      <w:r>
        <w:t>tenderers should</w:t>
      </w:r>
      <w:r w:rsidRPr="007B5F23">
        <w:t xml:space="preserve"> indicate which </w:t>
      </w:r>
      <w:r>
        <w:t xml:space="preserve">volume, section, lot or sub-lot, and </w:t>
      </w:r>
      <w:r w:rsidRPr="007B5F23">
        <w:t>question</w:t>
      </w:r>
      <w:r>
        <w:t xml:space="preserve"> </w:t>
      </w:r>
      <w:r w:rsidRPr="007B5F23">
        <w:t>(</w:t>
      </w:r>
      <w:r>
        <w:t>AQ</w:t>
      </w:r>
      <w:r w:rsidRPr="007B5F23">
        <w:t>)</w:t>
      </w:r>
      <w:r>
        <w:t xml:space="preserve"> or reference number</w:t>
      </w:r>
      <w:r w:rsidRPr="007B5F23">
        <w:t xml:space="preserve"> they relate to. All supporting documents must be uploaded to </w:t>
      </w:r>
      <w:hyperlink r:id="rId17" w:history="1">
        <w:r w:rsidRPr="006E2893">
          <w:rPr>
            <w:rStyle w:val="Hyperlink"/>
          </w:rPr>
          <w:t>https://cimple.uk</w:t>
        </w:r>
      </w:hyperlink>
      <w:r>
        <w:t xml:space="preserve">. </w:t>
      </w:r>
      <w:r w:rsidRPr="007B5F23">
        <w:t>Failure to upload relevant documents where requested could lead to the submission being rejected as ineligible.</w:t>
      </w:r>
      <w:bookmarkStart w:id="125" w:name="_Toc44515902"/>
      <w:bookmarkEnd w:id="123"/>
      <w:bookmarkEnd w:id="124"/>
    </w:p>
    <w:p w14:paraId="1C0555AD" w14:textId="77777777" w:rsidR="00C0201E" w:rsidRPr="007B5F23" w:rsidRDefault="00C0201E" w:rsidP="00C0201E">
      <w:pPr>
        <w:pStyle w:val="Level2"/>
      </w:pPr>
      <w:bookmarkStart w:id="126" w:name="_Toc86338752"/>
      <w:r>
        <w:t>Tenderers should e</w:t>
      </w:r>
      <w:r w:rsidRPr="007B5F23">
        <w:t>nsure that all documents requiring signature are signed as requested, this can include an electronic signature.</w:t>
      </w:r>
      <w:bookmarkStart w:id="127" w:name="_Toc44515903"/>
      <w:bookmarkEnd w:id="125"/>
      <w:bookmarkEnd w:id="126"/>
    </w:p>
    <w:p w14:paraId="13B49482" w14:textId="77777777" w:rsidR="00C0201E" w:rsidRPr="007B5F23" w:rsidRDefault="00C0201E" w:rsidP="00C0201E">
      <w:pPr>
        <w:pStyle w:val="Level2"/>
      </w:pPr>
      <w:bookmarkStart w:id="128" w:name="_Toc44515906"/>
      <w:bookmarkStart w:id="129" w:name="_Toc86338756"/>
      <w:bookmarkEnd w:id="127"/>
      <w:r w:rsidRPr="007B5F23">
        <w:t xml:space="preserve">If it is found that any successful </w:t>
      </w:r>
      <w:r>
        <w:t>s</w:t>
      </w:r>
      <w:r w:rsidRPr="007B5F23">
        <w:t xml:space="preserve">upplier has provided information in support of their ITT submission which is later found to be false and/or misleading, we reserve the right to cancel the </w:t>
      </w:r>
      <w:r>
        <w:t>s</w:t>
      </w:r>
      <w:r w:rsidRPr="007B5F23">
        <w:t>upplier’s appointment to the contract and claim reimbursement of any additional costs incurred.</w:t>
      </w:r>
      <w:bookmarkStart w:id="130" w:name="_Toc44515907"/>
      <w:bookmarkEnd w:id="128"/>
      <w:bookmarkEnd w:id="129"/>
    </w:p>
    <w:p w14:paraId="11B1FDB8" w14:textId="77777777" w:rsidR="00C0201E" w:rsidRPr="007B5F23" w:rsidRDefault="00C0201E" w:rsidP="00C0201E">
      <w:pPr>
        <w:pStyle w:val="Level2"/>
      </w:pPr>
      <w:bookmarkStart w:id="131" w:name="_Toc86338757"/>
      <w:r>
        <w:t>The Trust</w:t>
      </w:r>
      <w:r w:rsidRPr="007B5F23">
        <w:t xml:space="preserve"> reserve</w:t>
      </w:r>
      <w:r>
        <w:t>s</w:t>
      </w:r>
      <w:r w:rsidRPr="007B5F23">
        <w:t xml:space="preserve"> the right to issue supplementary documentation at any time during the tendering process to clarify any issue or amend any aspect of the ITT. All such further documentation that may be issued shall be circulated to all </w:t>
      </w:r>
      <w:r>
        <w:t>s</w:t>
      </w:r>
      <w:r w:rsidRPr="007B5F23">
        <w:t>uppliers and deemed to form part of the ITT documents and shall supplement and/or supersede any part of the ITT to the extent indicated.</w:t>
      </w:r>
      <w:bookmarkStart w:id="132" w:name="_Toc44515908"/>
      <w:bookmarkEnd w:id="130"/>
      <w:bookmarkEnd w:id="131"/>
    </w:p>
    <w:p w14:paraId="745F420C" w14:textId="77777777" w:rsidR="00C0201E" w:rsidRPr="007B5F23" w:rsidRDefault="00C0201E" w:rsidP="00C0201E">
      <w:pPr>
        <w:pStyle w:val="Level2"/>
      </w:pPr>
      <w:bookmarkStart w:id="133" w:name="_Toc44515909"/>
      <w:bookmarkStart w:id="134" w:name="_Toc86338759"/>
      <w:bookmarkEnd w:id="132"/>
      <w:r w:rsidRPr="007B5F23">
        <w:t>Suppliers must obtain for themselves at their own expense all information necessary for the preparation of their bid.</w:t>
      </w:r>
      <w:bookmarkEnd w:id="133"/>
      <w:bookmarkEnd w:id="134"/>
    </w:p>
    <w:p w14:paraId="5551996F" w14:textId="77777777" w:rsidR="00DA4891" w:rsidRDefault="00DA4891" w:rsidP="00A76AB3">
      <w:pPr>
        <w:jc w:val="both"/>
      </w:pPr>
      <w:bookmarkStart w:id="135" w:name="tender_docs"/>
      <w:bookmarkEnd w:id="135"/>
    </w:p>
    <w:p w14:paraId="2FC4A021" w14:textId="77777777" w:rsidR="00AB6AE2" w:rsidRPr="0072029E" w:rsidRDefault="00AB6AE2" w:rsidP="00AB6AE2">
      <w:pPr>
        <w:pStyle w:val="Level1"/>
      </w:pPr>
      <w:bookmarkStart w:id="136" w:name="_Toc117092814"/>
      <w:bookmarkStart w:id="137" w:name="_Toc44515874"/>
      <w:bookmarkStart w:id="138" w:name="_Toc86338467"/>
      <w:bookmarkStart w:id="139" w:name="_Toc86338731"/>
      <w:bookmarkStart w:id="140" w:name="_Toc117092803"/>
      <w:bookmarkStart w:id="141" w:name="_Toc118472355"/>
      <w:r w:rsidRPr="0072029E">
        <w:t>Social Value</w:t>
      </w:r>
      <w:bookmarkEnd w:id="136"/>
      <w:bookmarkEnd w:id="141"/>
    </w:p>
    <w:p w14:paraId="253FE649" w14:textId="77777777" w:rsidR="00AB6AE2" w:rsidRPr="0034252F" w:rsidRDefault="00AB6AE2" w:rsidP="00AB6AE2">
      <w:pPr>
        <w:pStyle w:val="Level2"/>
      </w:pPr>
      <w:bookmarkStart w:id="142" w:name="_Toc44515921"/>
      <w:bookmarkStart w:id="143" w:name="_Toc86338797"/>
      <w:r w:rsidRPr="0034252F">
        <w:t xml:space="preserve">All </w:t>
      </w:r>
      <w:r>
        <w:t>p</w:t>
      </w:r>
      <w:r w:rsidRPr="0034252F">
        <w:t xml:space="preserve">ublic </w:t>
      </w:r>
      <w:r>
        <w:t>sector b</w:t>
      </w:r>
      <w:r w:rsidRPr="0034252F">
        <w:t xml:space="preserve">odies have a legal obligation under the </w:t>
      </w:r>
      <w:r>
        <w:t>p</w:t>
      </w:r>
      <w:r w:rsidRPr="0034252F">
        <w:t xml:space="preserve">ublic </w:t>
      </w:r>
      <w:r>
        <w:t>s</w:t>
      </w:r>
      <w:r w:rsidRPr="0034252F">
        <w:t xml:space="preserve">ervices (Social Value) Act 2012 to consider the </w:t>
      </w:r>
      <w:r>
        <w:t>s</w:t>
      </w:r>
      <w:r w:rsidRPr="0034252F">
        <w:t xml:space="preserve">ocial </w:t>
      </w:r>
      <w:r>
        <w:t>v</w:t>
      </w:r>
      <w:r w:rsidRPr="0034252F">
        <w:t xml:space="preserve">alue that can be achieved from the procurement of services. </w:t>
      </w:r>
      <w:bookmarkStart w:id="144" w:name="_Toc44515922"/>
      <w:bookmarkEnd w:id="142"/>
      <w:bookmarkEnd w:id="143"/>
    </w:p>
    <w:p w14:paraId="1F723F43" w14:textId="77777777" w:rsidR="00AB6AE2" w:rsidRPr="0034252F" w:rsidRDefault="00AB6AE2" w:rsidP="00AB6AE2">
      <w:pPr>
        <w:pStyle w:val="Level2"/>
      </w:pPr>
      <w:bookmarkStart w:id="145" w:name="_Toc86338798"/>
      <w:r w:rsidRPr="0034252F">
        <w:t xml:space="preserve">The Social Value Act requires </w:t>
      </w:r>
      <w:r>
        <w:t>p</w:t>
      </w:r>
      <w:r w:rsidRPr="0034252F">
        <w:t>ublic</w:t>
      </w:r>
      <w:r>
        <w:t xml:space="preserve"> sector</w:t>
      </w:r>
      <w:r w:rsidRPr="0034252F">
        <w:t xml:space="preserve"> </w:t>
      </w:r>
      <w:r>
        <w:t>b</w:t>
      </w:r>
      <w:r w:rsidRPr="0034252F">
        <w:t xml:space="preserve">odies to consider how the services they commission and procure might improve the economic, social, and environmental well-being of the area. This means </w:t>
      </w:r>
      <w:r>
        <w:t>that</w:t>
      </w:r>
      <w:r w:rsidRPr="0034252F">
        <w:t xml:space="preserve"> all </w:t>
      </w:r>
      <w:r>
        <w:t>p</w:t>
      </w:r>
      <w:r w:rsidRPr="0034252F">
        <w:t>ublic</w:t>
      </w:r>
      <w:r>
        <w:t xml:space="preserve"> sector</w:t>
      </w:r>
      <w:r w:rsidRPr="0034252F">
        <w:t xml:space="preserve"> </w:t>
      </w:r>
      <w:r>
        <w:t>b</w:t>
      </w:r>
      <w:r w:rsidRPr="0034252F">
        <w:t xml:space="preserve">odies </w:t>
      </w:r>
      <w:r>
        <w:t xml:space="preserve">should </w:t>
      </w:r>
      <w:r w:rsidRPr="0034252F">
        <w:t>consider</w:t>
      </w:r>
      <w:r>
        <w:t xml:space="preserve"> </w:t>
      </w:r>
      <w:r w:rsidRPr="0034252F">
        <w:t>the benefit to the community from a commissioning/procurement process over and above the direct purchasing of goods, services, and outcomes.</w:t>
      </w:r>
      <w:bookmarkEnd w:id="144"/>
      <w:bookmarkEnd w:id="145"/>
      <w:r w:rsidRPr="0034252F">
        <w:t xml:space="preserve"> </w:t>
      </w:r>
      <w:bookmarkStart w:id="146" w:name="_Toc44515923"/>
    </w:p>
    <w:p w14:paraId="7CF19E6A" w14:textId="325FDB60" w:rsidR="00AB6AE2" w:rsidRPr="00BD4D09" w:rsidRDefault="00BD4D09" w:rsidP="00AB6AE2">
      <w:pPr>
        <w:pStyle w:val="Level2"/>
      </w:pPr>
      <w:bookmarkStart w:id="147" w:name="_Toc86338800"/>
      <w:bookmarkStart w:id="148" w:name="_Toc44515924"/>
      <w:bookmarkEnd w:id="146"/>
      <w:r w:rsidRPr="00BD4D09">
        <w:t>The Trust is</w:t>
      </w:r>
      <w:r w:rsidR="00AB6AE2" w:rsidRPr="00BD4D09">
        <w:t xml:space="preserve"> interested in your approach to low energy technologies, the move to decarbonisation and Net Zero, and how your offering can have a significant impact on the journey to delivering a low energy, zero carbon future.</w:t>
      </w:r>
      <w:bookmarkEnd w:id="147"/>
      <w:r w:rsidR="00AB6AE2" w:rsidRPr="00BD4D09">
        <w:t xml:space="preserve"> </w:t>
      </w:r>
    </w:p>
    <w:p w14:paraId="6A068387" w14:textId="7FE51258" w:rsidR="00CA08C2" w:rsidRPr="0072029E" w:rsidRDefault="0043567C" w:rsidP="00AB6AE2">
      <w:pPr>
        <w:pStyle w:val="Level1"/>
      </w:pPr>
      <w:bookmarkStart w:id="149" w:name="_Toc118472356"/>
      <w:bookmarkEnd w:id="148"/>
      <w:r w:rsidRPr="0014441F">
        <w:t xml:space="preserve">Clarifications and </w:t>
      </w:r>
      <w:r w:rsidR="00DF44D1">
        <w:t>q</w:t>
      </w:r>
      <w:r w:rsidR="008228FF" w:rsidRPr="0014441F">
        <w:t>uerie</w:t>
      </w:r>
      <w:r w:rsidR="00EB2E65">
        <w:t>s</w:t>
      </w:r>
      <w:bookmarkEnd w:id="137"/>
      <w:bookmarkEnd w:id="138"/>
      <w:bookmarkEnd w:id="139"/>
      <w:bookmarkEnd w:id="140"/>
      <w:bookmarkEnd w:id="149"/>
    </w:p>
    <w:p w14:paraId="19EAED3C" w14:textId="330E450C" w:rsidR="000C49A1" w:rsidRPr="0067456A" w:rsidRDefault="00CA08C2" w:rsidP="00AB6AE2">
      <w:pPr>
        <w:pStyle w:val="Level2"/>
      </w:pPr>
      <w:bookmarkStart w:id="150" w:name="_Toc44515875"/>
      <w:bookmarkStart w:id="151" w:name="_Toc86338732"/>
      <w:r w:rsidRPr="0067456A">
        <w:t xml:space="preserve">If you have any enquiries about the ITT </w:t>
      </w:r>
      <w:r w:rsidR="00C0201E">
        <w:t>A</w:t>
      </w:r>
      <w:r w:rsidR="00745E05">
        <w:t xml:space="preserve">ward </w:t>
      </w:r>
      <w:r w:rsidR="00C0201E">
        <w:t>Q</w:t>
      </w:r>
      <w:r w:rsidR="00745E05" w:rsidRPr="0067456A">
        <w:t xml:space="preserve">uestionnaire </w:t>
      </w:r>
      <w:r w:rsidRPr="0067456A">
        <w:t xml:space="preserve">or </w:t>
      </w:r>
      <w:r w:rsidR="00C158E7" w:rsidRPr="0067456A">
        <w:t>t</w:t>
      </w:r>
      <w:r w:rsidRPr="0067456A">
        <w:t xml:space="preserve">ender </w:t>
      </w:r>
      <w:r w:rsidR="00C158E7" w:rsidRPr="0067456A">
        <w:t>d</w:t>
      </w:r>
      <w:r w:rsidRPr="0067456A">
        <w:t xml:space="preserve">ocumentation which might have any bearing on your tender, you should raise these </w:t>
      </w:r>
      <w:r w:rsidR="00614CF9">
        <w:t xml:space="preserve">via </w:t>
      </w:r>
      <w:r w:rsidR="00614CF9" w:rsidRPr="007B5F23">
        <w:t xml:space="preserve"> </w:t>
      </w:r>
      <w:hyperlink r:id="rId18" w:history="1">
        <w:r w:rsidR="00614CF9" w:rsidRPr="006E2893">
          <w:rPr>
            <w:rStyle w:val="Hyperlink"/>
          </w:rPr>
          <w:t>https://cimple.uk</w:t>
        </w:r>
      </w:hyperlink>
      <w:r w:rsidRPr="0067456A">
        <w:t xml:space="preserve">, </w:t>
      </w:r>
      <w:r w:rsidR="006B4978" w:rsidRPr="0067456A">
        <w:t xml:space="preserve">by the date stated in </w:t>
      </w:r>
      <w:r w:rsidR="0029557B">
        <w:t xml:space="preserve">the </w:t>
      </w:r>
      <w:r w:rsidR="0029557B" w:rsidRPr="00BF1238">
        <w:t xml:space="preserve">Summary </w:t>
      </w:r>
      <w:r w:rsidR="00C0201E">
        <w:t>t</w:t>
      </w:r>
      <w:r w:rsidR="0029557B" w:rsidRPr="00BF1238">
        <w:t>able</w:t>
      </w:r>
      <w:r w:rsidR="00A5539A">
        <w:t xml:space="preserve"> or by emailing </w:t>
      </w:r>
      <w:hyperlink r:id="rId19" w:history="1">
        <w:r w:rsidR="00614CF9" w:rsidRPr="000961EB">
          <w:rPr>
            <w:rStyle w:val="Hyperlink"/>
          </w:rPr>
          <w:t>eplatt@2psolutions.co.uk</w:t>
        </w:r>
      </w:hyperlink>
      <w:r w:rsidR="00A5539A">
        <w:t xml:space="preserve">. </w:t>
      </w:r>
      <w:r w:rsidRPr="0067456A">
        <w:t xml:space="preserve">Where such an enquiry has been made, </w:t>
      </w:r>
      <w:r w:rsidR="000520E6" w:rsidRPr="0067456A">
        <w:t>we</w:t>
      </w:r>
      <w:r w:rsidRPr="0067456A">
        <w:t xml:space="preserve"> will circulate a copy of the clarification and its written reply to all </w:t>
      </w:r>
      <w:r w:rsidR="007B60E7">
        <w:t>T</w:t>
      </w:r>
      <w:r w:rsidRPr="0067456A">
        <w:t xml:space="preserve">enderers but will not publish the </w:t>
      </w:r>
      <w:r w:rsidR="007B60E7">
        <w:t>T</w:t>
      </w:r>
      <w:r w:rsidRPr="0067456A">
        <w:t>enderer who has asked the clarification.</w:t>
      </w:r>
      <w:bookmarkStart w:id="152" w:name="_Toc44515876"/>
      <w:bookmarkEnd w:id="150"/>
      <w:bookmarkEnd w:id="151"/>
    </w:p>
    <w:p w14:paraId="1DDA0F51" w14:textId="5405B0FC" w:rsidR="000C49A1" w:rsidRPr="0067456A" w:rsidRDefault="00F16690" w:rsidP="00AB6AE2">
      <w:pPr>
        <w:pStyle w:val="Level2"/>
      </w:pPr>
      <w:bookmarkStart w:id="153" w:name="_Toc86338733"/>
      <w:r w:rsidRPr="0067456A">
        <w:t xml:space="preserve">Tenderers should notify </w:t>
      </w:r>
      <w:r w:rsidR="00BF1238">
        <w:t>The Trust</w:t>
      </w:r>
      <w:r w:rsidR="000520E6" w:rsidRPr="0067456A">
        <w:t xml:space="preserve"> </w:t>
      </w:r>
      <w:r w:rsidRPr="0067456A">
        <w:t>of any perceived ambiguity, inconsistency</w:t>
      </w:r>
      <w:r w:rsidR="0014441F" w:rsidRPr="0067456A">
        <w:t>,</w:t>
      </w:r>
      <w:r w:rsidRPr="0067456A">
        <w:t xml:space="preserve"> or omission in the tender documents, any of its associated documents and/or any other information issued to them during this procurement process. All queries/questions/requests for information regarding this tender should be made online using the </w:t>
      </w:r>
      <w:proofErr w:type="spellStart"/>
      <w:r w:rsidR="00614CF9">
        <w:t>Cimple</w:t>
      </w:r>
      <w:proofErr w:type="spellEnd"/>
      <w:r w:rsidR="00614CF9">
        <w:t xml:space="preserve"> </w:t>
      </w:r>
      <w:r w:rsidRPr="0067456A">
        <w:t>portal. Any subsequent amendments or clarifications will be made via the portal.</w:t>
      </w:r>
      <w:bookmarkStart w:id="154" w:name="_Toc44515877"/>
      <w:bookmarkEnd w:id="152"/>
      <w:bookmarkEnd w:id="153"/>
    </w:p>
    <w:p w14:paraId="430C7148" w14:textId="328F50A3" w:rsidR="00F16690" w:rsidRPr="0067456A" w:rsidRDefault="00BF1238" w:rsidP="00AB6AE2">
      <w:pPr>
        <w:pStyle w:val="Level2"/>
      </w:pPr>
      <w:bookmarkStart w:id="155" w:name="_Toc86338734"/>
      <w:r>
        <w:t>The Trust</w:t>
      </w:r>
      <w:r w:rsidR="00D6409A">
        <w:t xml:space="preserve"> </w:t>
      </w:r>
      <w:r w:rsidR="00F16690">
        <w:t xml:space="preserve">may make changes to the ITT </w:t>
      </w:r>
      <w:r w:rsidR="005079FB">
        <w:t>d</w:t>
      </w:r>
      <w:r w:rsidR="00F16690">
        <w:t>ocumentation</w:t>
      </w:r>
      <w:r w:rsidR="005079FB">
        <w:t xml:space="preserve">. Tenderers will be notified of </w:t>
      </w:r>
      <w:r w:rsidR="00F16690">
        <w:t xml:space="preserve">such changes via the online portal as </w:t>
      </w:r>
      <w:r w:rsidR="005079FB">
        <w:t>t</w:t>
      </w:r>
      <w:r w:rsidR="00F16690">
        <w:t xml:space="preserve">ender </w:t>
      </w:r>
      <w:r w:rsidR="005079FB">
        <w:t>a</w:t>
      </w:r>
      <w:r w:rsidR="00F16690">
        <w:t xml:space="preserve">mendments. Where such </w:t>
      </w:r>
      <w:r w:rsidR="005079FB">
        <w:t>t</w:t>
      </w:r>
      <w:r w:rsidR="00F16690">
        <w:t xml:space="preserve">ender </w:t>
      </w:r>
      <w:r w:rsidR="005079FB">
        <w:t>a</w:t>
      </w:r>
      <w:r w:rsidR="00F16690">
        <w:t xml:space="preserve">mendments are issued within six working days of the submission date, </w:t>
      </w:r>
      <w:r w:rsidR="000520E6">
        <w:t>we will</w:t>
      </w:r>
      <w:r w:rsidR="00F16690">
        <w:t xml:space="preserve"> extend the deadline of the tender period where significant changes are made.</w:t>
      </w:r>
      <w:bookmarkEnd w:id="154"/>
      <w:bookmarkEnd w:id="155"/>
    </w:p>
    <w:p w14:paraId="1875E9E2" w14:textId="09B67CDE" w:rsidR="00A70646" w:rsidRPr="0072029E" w:rsidRDefault="00CA08C2" w:rsidP="00AB6AE2">
      <w:pPr>
        <w:pStyle w:val="Level1"/>
      </w:pPr>
      <w:bookmarkStart w:id="156" w:name="_Toc44515878"/>
      <w:bookmarkStart w:id="157" w:name="_Toc86338468"/>
      <w:bookmarkStart w:id="158" w:name="_Toc86338735"/>
      <w:bookmarkStart w:id="159" w:name="_Toc117092804"/>
      <w:bookmarkStart w:id="160" w:name="_Toc118472357"/>
      <w:r w:rsidRPr="0014441F">
        <w:t xml:space="preserve">Tender </w:t>
      </w:r>
      <w:r w:rsidR="008228FF" w:rsidRPr="0014441F">
        <w:t>Submission</w:t>
      </w:r>
      <w:bookmarkEnd w:id="156"/>
      <w:bookmarkEnd w:id="157"/>
      <w:bookmarkEnd w:id="158"/>
      <w:bookmarkEnd w:id="159"/>
      <w:r w:rsidR="00BF1238">
        <w:t>s</w:t>
      </w:r>
      <w:bookmarkEnd w:id="160"/>
    </w:p>
    <w:p w14:paraId="050D2B69" w14:textId="77777777" w:rsidR="00614CF9" w:rsidRPr="0067456A" w:rsidRDefault="00614CF9" w:rsidP="00614CF9">
      <w:pPr>
        <w:pStyle w:val="Level2"/>
      </w:pPr>
      <w:bookmarkStart w:id="161" w:name="_Toc86338711"/>
      <w:bookmarkStart w:id="162" w:name="_Toc44515882"/>
      <w:bookmarkStart w:id="163" w:name="_Toc86338739"/>
      <w:r w:rsidRPr="0067456A">
        <w:t>Tenderers may modify their submission prior to the deadline for receipt. No submission may be modified after the deadline for receipt. Tenderers may withdraw their submission at any time prior to accepting the notification of award.</w:t>
      </w:r>
      <w:bookmarkEnd w:id="161"/>
    </w:p>
    <w:p w14:paraId="504DD3E3" w14:textId="4C3EEDD5" w:rsidR="00A70646" w:rsidRPr="0067456A" w:rsidRDefault="00A70646" w:rsidP="00C0201E">
      <w:pPr>
        <w:pStyle w:val="Level2"/>
      </w:pPr>
      <w:r w:rsidRPr="0067456A">
        <w:t xml:space="preserve">The submission of a tender by the </w:t>
      </w:r>
      <w:r w:rsidR="007B60E7">
        <w:t>T</w:t>
      </w:r>
      <w:r w:rsidRPr="0067456A">
        <w:t xml:space="preserve">enderer is deemed to mean that they have understood the nature and extent of the service required. No claim founded on a </w:t>
      </w:r>
      <w:r w:rsidR="00DA29D1" w:rsidRPr="0067456A">
        <w:t>t</w:t>
      </w:r>
      <w:r w:rsidRPr="0067456A">
        <w:t>enderers failure to obtain interpretation of the contract prior to submission of their tender will be considered.</w:t>
      </w:r>
      <w:bookmarkEnd w:id="162"/>
      <w:bookmarkEnd w:id="163"/>
    </w:p>
    <w:p w14:paraId="43A925B5" w14:textId="35694CC8" w:rsidR="000C49A1" w:rsidRDefault="007C3381" w:rsidP="00AB6AE2">
      <w:pPr>
        <w:pStyle w:val="Level2"/>
      </w:pPr>
      <w:bookmarkStart w:id="164" w:name="_Toc44515895"/>
      <w:bookmarkStart w:id="165" w:name="_Toc86338744"/>
      <w:r w:rsidRPr="007B5F23">
        <w:t xml:space="preserve">The only method of submission for completed ITT submissions is via </w:t>
      </w:r>
      <w:hyperlink r:id="rId20" w:history="1">
        <w:r w:rsidR="00DF44D1" w:rsidRPr="006E2893">
          <w:rPr>
            <w:rStyle w:val="Hyperlink"/>
          </w:rPr>
          <w:t>https://cimple.uk</w:t>
        </w:r>
      </w:hyperlink>
      <w:r w:rsidRPr="007B5F23">
        <w:t>. Completed ITT submissions (and attached supporting documentation) must be uploaded onto the</w:t>
      </w:r>
      <w:r w:rsidR="00614CF9">
        <w:t xml:space="preserve"> </w:t>
      </w:r>
      <w:proofErr w:type="spellStart"/>
      <w:r w:rsidR="00614CF9">
        <w:t>Cimple</w:t>
      </w:r>
      <w:proofErr w:type="spellEnd"/>
      <w:r w:rsidR="00614CF9">
        <w:t xml:space="preserve"> </w:t>
      </w:r>
      <w:r w:rsidRPr="007B5F23">
        <w:t xml:space="preserve">portal by no later than </w:t>
      </w:r>
      <w:r w:rsidR="00DF44D1" w:rsidRPr="00F97421">
        <w:rPr>
          <w:b/>
          <w:bCs/>
        </w:rPr>
        <w:t>09:00</w:t>
      </w:r>
      <w:r w:rsidR="00F6758A" w:rsidRPr="00F97421">
        <w:t xml:space="preserve"> </w:t>
      </w:r>
      <w:r w:rsidRPr="00F97421">
        <w:t xml:space="preserve">on </w:t>
      </w:r>
      <w:r w:rsidR="00377AD8" w:rsidRPr="00F97421">
        <w:rPr>
          <w:b/>
          <w:bCs/>
        </w:rPr>
        <w:t>Monday</w:t>
      </w:r>
      <w:r w:rsidR="00377AD8" w:rsidRPr="00F97421">
        <w:t xml:space="preserve"> </w:t>
      </w:r>
      <w:r w:rsidR="00DF44D1" w:rsidRPr="00F97421">
        <w:rPr>
          <w:b/>
          <w:bCs/>
        </w:rPr>
        <w:t>21 November</w:t>
      </w:r>
      <w:r w:rsidR="00377AD8" w:rsidRPr="00F97421">
        <w:rPr>
          <w:b/>
          <w:bCs/>
        </w:rPr>
        <w:t xml:space="preserve"> 202</w:t>
      </w:r>
      <w:r w:rsidR="0099430E" w:rsidRPr="00F97421">
        <w:rPr>
          <w:b/>
          <w:bCs/>
        </w:rPr>
        <w:t>2</w:t>
      </w:r>
      <w:r w:rsidRPr="00F97421">
        <w:t>.</w:t>
      </w:r>
      <w:bookmarkStart w:id="166" w:name="_Toc44515896"/>
      <w:bookmarkEnd w:id="164"/>
      <w:bookmarkEnd w:id="165"/>
    </w:p>
    <w:p w14:paraId="37C2AE4B" w14:textId="77777777" w:rsidR="00BF1238" w:rsidRPr="007B5F23" w:rsidRDefault="00BF1238" w:rsidP="00AB6AE2">
      <w:pPr>
        <w:pStyle w:val="Level2"/>
      </w:pPr>
      <w:bookmarkStart w:id="167" w:name="_Toc86338746"/>
      <w:r w:rsidRPr="007B5F23">
        <w:t>ITT submissions by hand, post, fax, or other electronic means will not be accepted.</w:t>
      </w:r>
      <w:bookmarkStart w:id="168" w:name="_Toc44515898"/>
      <w:bookmarkEnd w:id="167"/>
    </w:p>
    <w:p w14:paraId="75FC2AC1" w14:textId="6DB66186" w:rsidR="000C49A1" w:rsidRPr="007B5F23" w:rsidRDefault="00BF1238" w:rsidP="00AB6AE2">
      <w:pPr>
        <w:pStyle w:val="Level2"/>
      </w:pPr>
      <w:bookmarkStart w:id="169" w:name="_Toc86338745"/>
      <w:bookmarkEnd w:id="168"/>
      <w:r>
        <w:lastRenderedPageBreak/>
        <w:t>It</w:t>
      </w:r>
      <w:r w:rsidR="007C3381" w:rsidRPr="007B5F23">
        <w:t xml:space="preserve"> is the </w:t>
      </w:r>
      <w:r>
        <w:t xml:space="preserve">supplier’s </w:t>
      </w:r>
      <w:r w:rsidR="007C3381" w:rsidRPr="007B5F23">
        <w:t xml:space="preserve">responsibility </w:t>
      </w:r>
      <w:r>
        <w:t>to ensure that</w:t>
      </w:r>
      <w:r w:rsidR="007C3381" w:rsidRPr="007B5F23">
        <w:t xml:space="preserve"> </w:t>
      </w:r>
      <w:r>
        <w:t xml:space="preserve">they have allowed </w:t>
      </w:r>
      <w:r w:rsidR="007C3381" w:rsidRPr="007B5F23">
        <w:t xml:space="preserve">adequate time </w:t>
      </w:r>
      <w:r>
        <w:t>to upload</w:t>
      </w:r>
      <w:r w:rsidR="007C3381" w:rsidRPr="007B5F23">
        <w:t xml:space="preserve"> all documents </w:t>
      </w:r>
      <w:r>
        <w:t>to</w:t>
      </w:r>
      <w:r w:rsidR="007C3381" w:rsidRPr="007B5F23">
        <w:t xml:space="preserve"> meet the deadline date and time. ITT submissions can be uploaded at any point before the submission deadline</w:t>
      </w:r>
      <w:bookmarkStart w:id="170" w:name="_Toc44515897"/>
      <w:bookmarkEnd w:id="166"/>
      <w:r w:rsidR="00203650" w:rsidRPr="007B5F23">
        <w:t>.</w:t>
      </w:r>
      <w:bookmarkEnd w:id="169"/>
    </w:p>
    <w:p w14:paraId="3D4434CE" w14:textId="08B7E037" w:rsidR="0043567C" w:rsidRDefault="0043567C" w:rsidP="00AB6AE2">
      <w:pPr>
        <w:pStyle w:val="Level1"/>
      </w:pPr>
      <w:bookmarkStart w:id="171" w:name="_Evaluation_Process"/>
      <w:bookmarkStart w:id="172" w:name="_Toc44515886"/>
      <w:bookmarkStart w:id="173" w:name="_Toc86338471"/>
      <w:bookmarkStart w:id="174" w:name="_Toc86338760"/>
      <w:bookmarkStart w:id="175" w:name="_Toc117092807"/>
      <w:bookmarkStart w:id="176" w:name="_Toc118472358"/>
      <w:bookmarkEnd w:id="170"/>
      <w:bookmarkEnd w:id="171"/>
      <w:r w:rsidRPr="0014441F">
        <w:t>Evaluation Process</w:t>
      </w:r>
      <w:bookmarkEnd w:id="172"/>
      <w:bookmarkEnd w:id="173"/>
      <w:bookmarkEnd w:id="174"/>
      <w:bookmarkEnd w:id="175"/>
      <w:bookmarkEnd w:id="176"/>
    </w:p>
    <w:p w14:paraId="11F85447" w14:textId="55171B20" w:rsidR="00922604" w:rsidRDefault="00922604" w:rsidP="00AB6AE2">
      <w:pPr>
        <w:pStyle w:val="Level2"/>
      </w:pPr>
      <w:bookmarkStart w:id="177" w:name="_Toc44515887"/>
      <w:bookmarkStart w:id="178" w:name="_Toc86338761"/>
      <w:r w:rsidRPr="00C90A98">
        <w:t xml:space="preserve">The Selection Questionnaire (Volume </w:t>
      </w:r>
      <w:r>
        <w:t>2</w:t>
      </w:r>
      <w:r w:rsidRPr="00C90A98">
        <w:t xml:space="preserve">) evaluation process incorporates a Pass/Fail assessment of each </w:t>
      </w:r>
      <w:r>
        <w:t>s</w:t>
      </w:r>
      <w:r w:rsidRPr="00C90A98">
        <w:t>upplier</w:t>
      </w:r>
      <w:r w:rsidR="00614CF9">
        <w:t>’s</w:t>
      </w:r>
      <w:r w:rsidRPr="00C90A98">
        <w:t xml:space="preserve"> acceptability.</w:t>
      </w:r>
      <w:bookmarkStart w:id="179" w:name="_Toc86338762"/>
      <w:bookmarkEnd w:id="177"/>
      <w:bookmarkEnd w:id="178"/>
      <w:r>
        <w:t xml:space="preserve"> </w:t>
      </w:r>
      <w:r w:rsidRPr="00C90A98">
        <w:t xml:space="preserve">Suppliers must have passed all the ‘Pass/Fail’ sections in Volume </w:t>
      </w:r>
      <w:r>
        <w:t>2</w:t>
      </w:r>
      <w:r w:rsidRPr="00C90A98">
        <w:t xml:space="preserve"> to be </w:t>
      </w:r>
      <w:r>
        <w:t xml:space="preserve">evaluated for the </w:t>
      </w:r>
      <w:r w:rsidRPr="00C90A98">
        <w:t>ITT Award Questionnaire (</w:t>
      </w:r>
      <w:r>
        <w:t>Volume 3</w:t>
      </w:r>
      <w:r w:rsidRPr="00C90A98">
        <w:t>)</w:t>
      </w:r>
      <w:bookmarkStart w:id="180" w:name="_Toc44515888"/>
      <w:r w:rsidRPr="00C90A98">
        <w:t>.</w:t>
      </w:r>
      <w:bookmarkEnd w:id="179"/>
    </w:p>
    <w:p w14:paraId="6A06C24E" w14:textId="0BE19046" w:rsidR="00AB6AE2" w:rsidRPr="00C90A98" w:rsidRDefault="00AB6AE2" w:rsidP="00AB6AE2">
      <w:pPr>
        <w:pStyle w:val="Level2"/>
      </w:pPr>
      <w:bookmarkStart w:id="181" w:name="_Toc86338771"/>
      <w:r w:rsidRPr="005D01A0">
        <w:t xml:space="preserve">Suppliers who self-certify that they meet the requirements outlined in </w:t>
      </w:r>
      <w:r>
        <w:t>Volume 2: Selection Questionnaire</w:t>
      </w:r>
      <w:r w:rsidRPr="005D01A0">
        <w:t xml:space="preserve"> will be required to provide evidence of this if they are successful at contract award stage.</w:t>
      </w:r>
      <w:bookmarkStart w:id="182" w:name="_Assessment_Criteria"/>
      <w:bookmarkEnd w:id="181"/>
      <w:bookmarkEnd w:id="182"/>
    </w:p>
    <w:p w14:paraId="7EC5D75E" w14:textId="60AEC724" w:rsidR="00922604" w:rsidRPr="000E24F9" w:rsidRDefault="00922604" w:rsidP="00AB6AE2">
      <w:pPr>
        <w:pStyle w:val="Level2"/>
        <w:rPr>
          <w:color w:val="auto"/>
        </w:rPr>
      </w:pPr>
      <w:bookmarkStart w:id="183" w:name="_Toc86338763"/>
      <w:r>
        <w:t xml:space="preserve">The technical capability evaluation of the ITT Award Questionnaire  in Volume 3 </w:t>
      </w:r>
      <w:bookmarkEnd w:id="180"/>
      <w:r>
        <w:t xml:space="preserve">is </w:t>
      </w:r>
      <w:r w:rsidRPr="007B60E7">
        <w:t xml:space="preserve">evidence based and scored using the evaluation </w:t>
      </w:r>
      <w:r>
        <w:t xml:space="preserve">and scoring </w:t>
      </w:r>
      <w:r w:rsidRPr="007B60E7">
        <w:t xml:space="preserve">criteria set out in the </w:t>
      </w:r>
      <w:r w:rsidRPr="00922604">
        <w:t>Award Questionnaire</w:t>
      </w:r>
      <w:r w:rsidRPr="007B60E7">
        <w:t xml:space="preserve"> </w:t>
      </w:r>
      <w:r w:rsidRPr="00DF44D1">
        <w:t>table</w:t>
      </w:r>
      <w:r w:rsidRPr="007B60E7">
        <w:t xml:space="preserve"> which can be found </w:t>
      </w:r>
      <w:r>
        <w:t>in</w:t>
      </w:r>
      <w:r w:rsidRPr="00922604">
        <w:rPr>
          <w:b/>
          <w:bCs/>
        </w:rPr>
        <w:t xml:space="preserve"> </w:t>
      </w:r>
      <w:r w:rsidRPr="00922604">
        <w:t>Evaluation Criteria</w:t>
      </w:r>
      <w:r>
        <w:t xml:space="preserve"> of the </w:t>
      </w:r>
      <w:r w:rsidRPr="00922604">
        <w:t xml:space="preserve">Volume 3 </w:t>
      </w:r>
      <w:bookmarkStart w:id="184" w:name="_Toc44515889"/>
      <w:bookmarkEnd w:id="183"/>
      <w:r>
        <w:t xml:space="preserve">Award Questionnaire </w:t>
      </w:r>
      <w:r w:rsidRPr="00922604">
        <w:t>and below</w:t>
      </w:r>
      <w:r w:rsidRPr="007B60E7">
        <w:t>.</w:t>
      </w:r>
    </w:p>
    <w:p w14:paraId="7D3D24E2" w14:textId="216FD8CE" w:rsidR="00922604" w:rsidRPr="005D01A0" w:rsidRDefault="00922604" w:rsidP="00AB6AE2">
      <w:pPr>
        <w:pStyle w:val="Level2"/>
      </w:pPr>
      <w:bookmarkStart w:id="185" w:name="_Toc86338764"/>
      <w:r w:rsidRPr="005D01A0">
        <w:t>Suppliers are advised that all questions in the ITT Award Questionnaire (</w:t>
      </w:r>
      <w:r>
        <w:t>Volume 3</w:t>
      </w:r>
      <w:r w:rsidRPr="005D01A0">
        <w:t>) must be answered. Failure to respond to all questions, or to provide incomplete or inadequate evidence, supporting documentation or details where requested may result in your submission not being considered. If a question is believed not to be applicable to your organisation, this should be clearly stated, and an explanation provided.</w:t>
      </w:r>
      <w:bookmarkStart w:id="186" w:name="_Toc44515890"/>
      <w:bookmarkEnd w:id="184"/>
      <w:bookmarkEnd w:id="185"/>
    </w:p>
    <w:p w14:paraId="2DBCE126" w14:textId="195111A5" w:rsidR="00922604" w:rsidRPr="005D01A0" w:rsidRDefault="00922604" w:rsidP="00AB6AE2">
      <w:pPr>
        <w:pStyle w:val="Level2"/>
      </w:pPr>
      <w:bookmarkStart w:id="187" w:name="_Toc86338765"/>
      <w:r w:rsidRPr="005D01A0">
        <w:t xml:space="preserve">To be </w:t>
      </w:r>
      <w:r>
        <w:t xml:space="preserve">successfully </w:t>
      </w:r>
      <w:r w:rsidRPr="005D01A0">
        <w:t>appointed as</w:t>
      </w:r>
      <w:r>
        <w:t xml:space="preserve"> The Trust’s </w:t>
      </w:r>
      <w:r w:rsidR="00614CF9">
        <w:t>m</w:t>
      </w:r>
      <w:r>
        <w:t xml:space="preserve">anaged </w:t>
      </w:r>
      <w:r w:rsidR="00614CF9">
        <w:t>s</w:t>
      </w:r>
      <w:r>
        <w:t xml:space="preserve">ervice </w:t>
      </w:r>
      <w:r w:rsidR="00614CF9">
        <w:t>p</w:t>
      </w:r>
      <w:r>
        <w:t xml:space="preserve">artner, </w:t>
      </w:r>
      <w:r w:rsidRPr="005D01A0">
        <w:t>suppliers must have:</w:t>
      </w:r>
      <w:bookmarkEnd w:id="187"/>
      <w:r w:rsidRPr="005D01A0">
        <w:t xml:space="preserve"> </w:t>
      </w:r>
    </w:p>
    <w:p w14:paraId="421629C6" w14:textId="6F6A28CA" w:rsidR="00922604" w:rsidRPr="005D01A0" w:rsidRDefault="00614CF9" w:rsidP="00922604">
      <w:pPr>
        <w:pStyle w:val="Level3"/>
      </w:pPr>
      <w:bookmarkStart w:id="188" w:name="_Toc86338766"/>
      <w:r>
        <w:t>c</w:t>
      </w:r>
      <w:r w:rsidR="00922604">
        <w:t>ompleted/passed all sections of the Volume 2: Selection Questionnaire</w:t>
      </w:r>
      <w:bookmarkEnd w:id="188"/>
      <w:r w:rsidR="00922604">
        <w:t>,</w:t>
      </w:r>
    </w:p>
    <w:p w14:paraId="674D68E5" w14:textId="56ABC8B7" w:rsidR="00922604" w:rsidRPr="005D01A0" w:rsidRDefault="00922604" w:rsidP="00922604">
      <w:pPr>
        <w:pStyle w:val="Level3"/>
      </w:pPr>
      <w:bookmarkStart w:id="189" w:name="_Toc86338769"/>
      <w:r>
        <w:t>achieved a quality score of at least 60% of the available marks for Volume 3: Award Questionnaire,</w:t>
      </w:r>
      <w:bookmarkEnd w:id="189"/>
    </w:p>
    <w:p w14:paraId="7CC7022D" w14:textId="0A8F9280" w:rsidR="00922604" w:rsidRDefault="00922604" w:rsidP="00922604">
      <w:pPr>
        <w:pStyle w:val="Level3"/>
      </w:pPr>
      <w:bookmarkStart w:id="190" w:name="_Toc86338770"/>
      <w:r>
        <w:t>achieved an initial score of at least a 3 out of 5 for each award question in the Volume 3: Award Questionnaire</w:t>
      </w:r>
      <w:bookmarkEnd w:id="190"/>
      <w:r>
        <w:t>, and</w:t>
      </w:r>
    </w:p>
    <w:p w14:paraId="0C38E969" w14:textId="52CA6190" w:rsidR="00922604" w:rsidRPr="005D01A0" w:rsidRDefault="00922604" w:rsidP="00AB6AE2">
      <w:pPr>
        <w:pStyle w:val="Level3"/>
      </w:pPr>
      <w:r w:rsidRPr="003605A6">
        <w:t>the highest final score</w:t>
      </w:r>
      <w:r w:rsidR="00AB6AE2">
        <w:t xml:space="preserve"> using the Evaluation Criteria below</w:t>
      </w:r>
      <w:r w:rsidRPr="003605A6">
        <w:t>.</w:t>
      </w:r>
    </w:p>
    <w:p w14:paraId="18B25A48" w14:textId="1CE0C7D4" w:rsidR="00922604" w:rsidRDefault="00AB6AE2" w:rsidP="00AB6AE2">
      <w:pPr>
        <w:pStyle w:val="Level1"/>
      </w:pPr>
      <w:bookmarkStart w:id="191" w:name="_Toc118472359"/>
      <w:bookmarkEnd w:id="186"/>
      <w:r>
        <w:t>Evaluation Criteria</w:t>
      </w:r>
      <w:bookmarkEnd w:id="191"/>
    </w:p>
    <w:p w14:paraId="5DD9808B" w14:textId="28D33E73" w:rsidR="00F63B27" w:rsidRPr="003605A6" w:rsidRDefault="00F63B27" w:rsidP="00AB6AE2">
      <w:pPr>
        <w:pStyle w:val="Level2"/>
      </w:pPr>
      <w:r w:rsidRPr="003605A6">
        <w:t xml:space="preserve">The evaluation criteria for </w:t>
      </w:r>
      <w:r>
        <w:t>this procurement</w:t>
      </w:r>
      <w:r w:rsidRPr="003605A6">
        <w:t xml:space="preserve"> will include a combined quality score + cost score to determine the most </w:t>
      </w:r>
      <w:r w:rsidRPr="004E5A00">
        <w:rPr>
          <w:b/>
          <w:bCs/>
        </w:rPr>
        <w:t>Economically Advantageous</w:t>
      </w:r>
      <w:r w:rsidRPr="003605A6">
        <w:t xml:space="preserve"> tender submission, according to the following weighting:</w:t>
      </w:r>
    </w:p>
    <w:p w14:paraId="7C2536E0" w14:textId="77777777" w:rsidR="00F63B27" w:rsidRPr="00A85625" w:rsidRDefault="00F63B27" w:rsidP="00F63B27">
      <w:pPr>
        <w:jc w:val="both"/>
        <w:rPr>
          <w:rFonts w:cs="Calibri"/>
        </w:rPr>
      </w:pPr>
    </w:p>
    <w:tbl>
      <w:tblPr>
        <w:tblStyle w:val="TableGrid"/>
        <w:tblW w:w="0" w:type="auto"/>
        <w:jc w:val="center"/>
        <w:tblLook w:val="04A0" w:firstRow="1" w:lastRow="0" w:firstColumn="1" w:lastColumn="0" w:noHBand="0" w:noVBand="1"/>
      </w:tblPr>
      <w:tblGrid>
        <w:gridCol w:w="2677"/>
        <w:gridCol w:w="2678"/>
      </w:tblGrid>
      <w:tr w:rsidR="00F63B27" w:rsidRPr="00447CAD" w14:paraId="7FF80A64" w14:textId="77777777" w:rsidTr="002367AB">
        <w:trPr>
          <w:trHeight w:val="352"/>
          <w:jc w:val="center"/>
        </w:trPr>
        <w:tc>
          <w:tcPr>
            <w:tcW w:w="2677" w:type="dxa"/>
            <w:shd w:val="clear" w:color="auto" w:fill="auto"/>
            <w:vAlign w:val="center"/>
          </w:tcPr>
          <w:p w14:paraId="3AB71C2C" w14:textId="77777777" w:rsidR="00F63B27" w:rsidRPr="00447CAD" w:rsidRDefault="00F63B27" w:rsidP="002367AB">
            <w:pPr>
              <w:spacing w:line="360" w:lineRule="auto"/>
              <w:rPr>
                <w:rFonts w:cstheme="minorHAnsi"/>
                <w:b/>
                <w:bCs/>
                <w:color w:val="000000" w:themeColor="text1"/>
              </w:rPr>
            </w:pPr>
            <w:r w:rsidRPr="00447CAD">
              <w:rPr>
                <w:rFonts w:cstheme="minorHAnsi"/>
                <w:b/>
                <w:bCs/>
                <w:color w:val="000000" w:themeColor="text1"/>
              </w:rPr>
              <w:t>Evaluation Aspect</w:t>
            </w:r>
          </w:p>
        </w:tc>
        <w:tc>
          <w:tcPr>
            <w:tcW w:w="2678" w:type="dxa"/>
            <w:shd w:val="clear" w:color="auto" w:fill="auto"/>
            <w:vAlign w:val="center"/>
          </w:tcPr>
          <w:p w14:paraId="1DC093EF" w14:textId="77777777" w:rsidR="00F63B27" w:rsidRPr="00447CAD" w:rsidRDefault="00F63B27" w:rsidP="002367AB">
            <w:pPr>
              <w:spacing w:line="360" w:lineRule="auto"/>
              <w:jc w:val="center"/>
              <w:rPr>
                <w:rFonts w:cstheme="minorHAnsi"/>
                <w:b/>
                <w:bCs/>
                <w:color w:val="000000" w:themeColor="text1"/>
              </w:rPr>
            </w:pPr>
            <w:r w:rsidRPr="00447CAD">
              <w:rPr>
                <w:rFonts w:cstheme="minorHAnsi"/>
                <w:b/>
                <w:bCs/>
                <w:color w:val="000000" w:themeColor="text1"/>
              </w:rPr>
              <w:t>Weighting</w:t>
            </w:r>
          </w:p>
        </w:tc>
      </w:tr>
      <w:tr w:rsidR="00F63B27" w:rsidRPr="00717868" w14:paraId="6B08E01F" w14:textId="77777777" w:rsidTr="002367AB">
        <w:trPr>
          <w:jc w:val="center"/>
        </w:trPr>
        <w:tc>
          <w:tcPr>
            <w:tcW w:w="2677" w:type="dxa"/>
            <w:vAlign w:val="center"/>
          </w:tcPr>
          <w:p w14:paraId="69B3A4F9" w14:textId="77777777" w:rsidR="00F63B27" w:rsidRPr="00717868" w:rsidRDefault="00F63B27" w:rsidP="002367AB">
            <w:pPr>
              <w:spacing w:line="360" w:lineRule="auto"/>
              <w:rPr>
                <w:rFonts w:cstheme="minorHAnsi"/>
              </w:rPr>
            </w:pPr>
            <w:r w:rsidRPr="00717868">
              <w:rPr>
                <w:rFonts w:cstheme="minorHAnsi"/>
                <w:color w:val="000000"/>
              </w:rPr>
              <w:t>Quality Score</w:t>
            </w:r>
          </w:p>
        </w:tc>
        <w:tc>
          <w:tcPr>
            <w:tcW w:w="2678" w:type="dxa"/>
            <w:vAlign w:val="center"/>
          </w:tcPr>
          <w:p w14:paraId="2BCCCE08" w14:textId="6A332612" w:rsidR="00F63B27" w:rsidRPr="00196632" w:rsidRDefault="00196632" w:rsidP="002367AB">
            <w:pPr>
              <w:spacing w:line="360" w:lineRule="auto"/>
              <w:jc w:val="center"/>
              <w:rPr>
                <w:rFonts w:cstheme="minorHAnsi"/>
                <w:color w:val="000000"/>
              </w:rPr>
            </w:pPr>
            <w:r w:rsidRPr="00196632">
              <w:rPr>
                <w:rFonts w:cstheme="minorHAnsi"/>
                <w:color w:val="000000"/>
              </w:rPr>
              <w:t>6</w:t>
            </w:r>
            <w:r w:rsidR="00F63B27" w:rsidRPr="00196632">
              <w:rPr>
                <w:rFonts w:cstheme="minorHAnsi"/>
                <w:color w:val="000000"/>
              </w:rPr>
              <w:t>0%</w:t>
            </w:r>
          </w:p>
        </w:tc>
      </w:tr>
      <w:tr w:rsidR="00F63B27" w:rsidRPr="00717868" w14:paraId="427FCA1B" w14:textId="77777777" w:rsidTr="002367AB">
        <w:trPr>
          <w:jc w:val="center"/>
        </w:trPr>
        <w:tc>
          <w:tcPr>
            <w:tcW w:w="2677" w:type="dxa"/>
            <w:vAlign w:val="center"/>
          </w:tcPr>
          <w:p w14:paraId="4E8AEF96" w14:textId="77777777" w:rsidR="00F63B27" w:rsidRPr="00717868" w:rsidRDefault="00F63B27" w:rsidP="002367AB">
            <w:pPr>
              <w:spacing w:line="360" w:lineRule="auto"/>
              <w:rPr>
                <w:rFonts w:cstheme="minorHAnsi"/>
                <w:color w:val="000000"/>
              </w:rPr>
            </w:pPr>
            <w:r w:rsidRPr="00717868">
              <w:rPr>
                <w:rFonts w:cstheme="minorHAnsi"/>
                <w:color w:val="000000"/>
              </w:rPr>
              <w:t>Cost Score</w:t>
            </w:r>
          </w:p>
        </w:tc>
        <w:tc>
          <w:tcPr>
            <w:tcW w:w="2678" w:type="dxa"/>
            <w:vAlign w:val="center"/>
          </w:tcPr>
          <w:p w14:paraId="43161DBE" w14:textId="43DBC68F" w:rsidR="00F63B27" w:rsidRPr="00196632" w:rsidRDefault="00196632" w:rsidP="002367AB">
            <w:pPr>
              <w:spacing w:line="360" w:lineRule="auto"/>
              <w:jc w:val="center"/>
              <w:rPr>
                <w:rFonts w:cstheme="minorHAnsi"/>
              </w:rPr>
            </w:pPr>
            <w:r w:rsidRPr="00196632">
              <w:rPr>
                <w:rFonts w:cstheme="minorHAnsi"/>
                <w:color w:val="000000"/>
              </w:rPr>
              <w:t>4</w:t>
            </w:r>
            <w:r w:rsidR="00F63B27" w:rsidRPr="00196632">
              <w:rPr>
                <w:rFonts w:cstheme="minorHAnsi"/>
                <w:color w:val="000000"/>
              </w:rPr>
              <w:t>0%</w:t>
            </w:r>
          </w:p>
        </w:tc>
      </w:tr>
    </w:tbl>
    <w:p w14:paraId="3B793D9C" w14:textId="77777777" w:rsidR="00F63B27" w:rsidRDefault="00F63B27" w:rsidP="00F63B27">
      <w:pPr>
        <w:jc w:val="both"/>
        <w:rPr>
          <w:rFonts w:cstheme="minorHAnsi"/>
        </w:rPr>
      </w:pPr>
    </w:p>
    <w:p w14:paraId="0BF1EEDD" w14:textId="77777777" w:rsidR="00F63B27" w:rsidRPr="00AA08AA" w:rsidRDefault="00F63B27" w:rsidP="00F63B27">
      <w:pPr>
        <w:spacing w:line="276" w:lineRule="auto"/>
        <w:rPr>
          <w:rFonts w:cstheme="minorHAnsi"/>
        </w:rPr>
      </w:pPr>
    </w:p>
    <w:p w14:paraId="5B6556AC" w14:textId="77777777" w:rsidR="00F63B27" w:rsidRPr="003605A6" w:rsidRDefault="00F63B27" w:rsidP="00AB6AE2">
      <w:pPr>
        <w:pStyle w:val="Level2"/>
      </w:pPr>
      <w:bookmarkStart w:id="192" w:name="_Toc117090070"/>
      <w:r w:rsidRPr="004E5A00">
        <w:t>Quality</w:t>
      </w:r>
      <w:r w:rsidRPr="003605A6">
        <w:t xml:space="preserve"> </w:t>
      </w:r>
      <w:r w:rsidRPr="004E5A00">
        <w:t>score</w:t>
      </w:r>
      <w:bookmarkEnd w:id="192"/>
    </w:p>
    <w:p w14:paraId="59BADBC6" w14:textId="1D7DB7E4" w:rsidR="00F63B27" w:rsidRDefault="00F63B27" w:rsidP="00F63B27">
      <w:pPr>
        <w:spacing w:line="276" w:lineRule="auto"/>
        <w:ind w:left="1077"/>
        <w:jc w:val="both"/>
      </w:pPr>
      <w:r>
        <w:lastRenderedPageBreak/>
        <w:t>T</w:t>
      </w:r>
      <w:r w:rsidRPr="00AA08AA">
        <w:t xml:space="preserve">he </w:t>
      </w:r>
      <w:r>
        <w:t>q</w:t>
      </w:r>
      <w:r w:rsidRPr="00AA08AA">
        <w:t xml:space="preserve">uality </w:t>
      </w:r>
      <w:r>
        <w:t>evaluation</w:t>
      </w:r>
      <w:r w:rsidRPr="00AA08AA">
        <w:t xml:space="preserve"> will be marked in accordance with the</w:t>
      </w:r>
      <w:r>
        <w:t xml:space="preserve"> </w:t>
      </w:r>
      <w:r w:rsidRPr="00370D68">
        <w:rPr>
          <w:b/>
          <w:bCs/>
        </w:rPr>
        <w:t>Evaluation Criteria</w:t>
      </w:r>
      <w:r w:rsidRPr="00AA08AA">
        <w:t xml:space="preserve"> table </w:t>
      </w:r>
      <w:r>
        <w:t xml:space="preserve">in Volume 3: Award Questionnaire. </w:t>
      </w:r>
      <w:r w:rsidRPr="00AA08AA">
        <w:t xml:space="preserve"> </w:t>
      </w:r>
      <w:r>
        <w:t>E</w:t>
      </w:r>
      <w:r w:rsidRPr="00AA08AA">
        <w:t xml:space="preserve">ach individual </w:t>
      </w:r>
      <w:r>
        <w:t>a</w:t>
      </w:r>
      <w:r w:rsidRPr="00AA08AA">
        <w:t xml:space="preserve">ward </w:t>
      </w:r>
      <w:r>
        <w:t>q</w:t>
      </w:r>
      <w:r w:rsidRPr="00AA08AA">
        <w:t>uestion (AQ) will be evaluated on a scale of 0</w:t>
      </w:r>
      <w:r>
        <w:t>-</w:t>
      </w:r>
      <w:r w:rsidRPr="00AA08AA">
        <w:t xml:space="preserve">5 and the table will show the </w:t>
      </w:r>
      <w:r>
        <w:t>m</w:t>
      </w:r>
      <w:r w:rsidRPr="00AA08AA">
        <w:t xml:space="preserve">aximum </w:t>
      </w:r>
      <w:r>
        <w:t>m</w:t>
      </w:r>
      <w:r w:rsidRPr="00AA08AA">
        <w:t>arks available by question as illustrated in the table</w:t>
      </w:r>
      <w:r>
        <w:t>s</w:t>
      </w:r>
      <w:r w:rsidRPr="00AA08AA">
        <w:t xml:space="preserve"> </w:t>
      </w:r>
      <w:r>
        <w:t>below</w:t>
      </w:r>
      <w:r w:rsidRPr="00AA08AA">
        <w:t>.</w:t>
      </w:r>
    </w:p>
    <w:p w14:paraId="7B0474E0" w14:textId="7504A76A" w:rsidR="00F63B27" w:rsidRDefault="00F63B27" w:rsidP="00F63B27">
      <w:pPr>
        <w:spacing w:line="276" w:lineRule="auto"/>
        <w:ind w:left="1077"/>
        <w:jc w:val="both"/>
      </w:pPr>
    </w:p>
    <w:tbl>
      <w:tblPr>
        <w:tblStyle w:val="TableGrid"/>
        <w:tblW w:w="8080" w:type="dxa"/>
        <w:tblInd w:w="1129" w:type="dxa"/>
        <w:tblLook w:val="04A0" w:firstRow="1" w:lastRow="0" w:firstColumn="1" w:lastColumn="0" w:noHBand="0" w:noVBand="1"/>
      </w:tblPr>
      <w:tblGrid>
        <w:gridCol w:w="3402"/>
        <w:gridCol w:w="2127"/>
        <w:gridCol w:w="2551"/>
      </w:tblGrid>
      <w:tr w:rsidR="00F63B27" w:rsidRPr="004A640E" w14:paraId="43B758A5" w14:textId="77777777" w:rsidTr="00F63B27">
        <w:tc>
          <w:tcPr>
            <w:tcW w:w="3402" w:type="dxa"/>
            <w:shd w:val="clear" w:color="auto" w:fill="auto"/>
          </w:tcPr>
          <w:p w14:paraId="240AF48F" w14:textId="77777777" w:rsidR="00F63B27" w:rsidRPr="004A640E" w:rsidRDefault="00F63B27" w:rsidP="002367AB">
            <w:pPr>
              <w:spacing w:line="276" w:lineRule="auto"/>
              <w:rPr>
                <w:rFonts w:cstheme="minorHAnsi"/>
                <w:color w:val="000000" w:themeColor="text1"/>
              </w:rPr>
            </w:pPr>
            <w:r w:rsidRPr="004A640E">
              <w:rPr>
                <w:rFonts w:cstheme="minorHAnsi"/>
                <w:b/>
                <w:bCs/>
                <w:color w:val="000000" w:themeColor="text1"/>
              </w:rPr>
              <w:t>Question</w:t>
            </w:r>
          </w:p>
        </w:tc>
        <w:tc>
          <w:tcPr>
            <w:tcW w:w="2127" w:type="dxa"/>
            <w:shd w:val="clear" w:color="auto" w:fill="auto"/>
          </w:tcPr>
          <w:p w14:paraId="5354E4D2" w14:textId="77777777" w:rsidR="00F63B27" w:rsidRPr="004A640E" w:rsidRDefault="00F63B27" w:rsidP="002367AB">
            <w:pPr>
              <w:spacing w:line="276" w:lineRule="auto"/>
              <w:jc w:val="center"/>
              <w:rPr>
                <w:rFonts w:cstheme="minorHAnsi"/>
                <w:color w:val="000000" w:themeColor="text1"/>
              </w:rPr>
            </w:pPr>
            <w:r w:rsidRPr="004A640E">
              <w:rPr>
                <w:rFonts w:cstheme="minorHAnsi"/>
                <w:b/>
                <w:bCs/>
                <w:color w:val="000000" w:themeColor="text1"/>
              </w:rPr>
              <w:t>Evaluation Scale</w:t>
            </w:r>
          </w:p>
        </w:tc>
        <w:tc>
          <w:tcPr>
            <w:tcW w:w="2551" w:type="dxa"/>
            <w:shd w:val="clear" w:color="auto" w:fill="auto"/>
          </w:tcPr>
          <w:p w14:paraId="7ADB2214" w14:textId="77777777" w:rsidR="00F63B27" w:rsidRPr="004A640E" w:rsidRDefault="00F63B27" w:rsidP="002367AB">
            <w:pPr>
              <w:spacing w:line="276" w:lineRule="auto"/>
              <w:jc w:val="center"/>
              <w:rPr>
                <w:rFonts w:cstheme="minorHAnsi"/>
                <w:color w:val="000000" w:themeColor="text1"/>
              </w:rPr>
            </w:pPr>
            <w:r w:rsidRPr="004A640E">
              <w:rPr>
                <w:rFonts w:cstheme="minorHAnsi"/>
                <w:b/>
                <w:bCs/>
                <w:color w:val="000000" w:themeColor="text1"/>
              </w:rPr>
              <w:t>Maximum Marks Available</w:t>
            </w:r>
          </w:p>
        </w:tc>
      </w:tr>
      <w:tr w:rsidR="00196632" w:rsidRPr="005B70F8" w14:paraId="1020205A" w14:textId="77777777" w:rsidTr="00F63B27">
        <w:tc>
          <w:tcPr>
            <w:tcW w:w="3402" w:type="dxa"/>
          </w:tcPr>
          <w:p w14:paraId="6BD083B0" w14:textId="77777777" w:rsidR="00196632" w:rsidRPr="00196632" w:rsidRDefault="00196632" w:rsidP="00196632">
            <w:pPr>
              <w:spacing w:line="276" w:lineRule="auto"/>
              <w:rPr>
                <w:rFonts w:cstheme="minorHAnsi"/>
              </w:rPr>
            </w:pPr>
            <w:r w:rsidRPr="00196632">
              <w:rPr>
                <w:rFonts w:cstheme="minorHAnsi"/>
              </w:rPr>
              <w:t>AQ1: Helpdesk Services</w:t>
            </w:r>
          </w:p>
        </w:tc>
        <w:tc>
          <w:tcPr>
            <w:tcW w:w="2127" w:type="dxa"/>
          </w:tcPr>
          <w:p w14:paraId="3958D74C"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204848DE" w14:textId="1B99BCE1" w:rsidR="00196632" w:rsidRPr="005B70F8" w:rsidRDefault="00196632" w:rsidP="00196632">
            <w:pPr>
              <w:spacing w:line="276" w:lineRule="auto"/>
              <w:jc w:val="center"/>
              <w:rPr>
                <w:rFonts w:cstheme="minorHAnsi"/>
              </w:rPr>
            </w:pPr>
            <w:r w:rsidRPr="005C7D3C">
              <w:rPr>
                <w:rFonts w:cstheme="minorHAnsi"/>
              </w:rPr>
              <w:t>10</w:t>
            </w:r>
          </w:p>
        </w:tc>
      </w:tr>
      <w:tr w:rsidR="00196632" w:rsidRPr="005B70F8" w14:paraId="5F5DEEEE" w14:textId="77777777" w:rsidTr="00F63B27">
        <w:tc>
          <w:tcPr>
            <w:tcW w:w="3402" w:type="dxa"/>
          </w:tcPr>
          <w:p w14:paraId="3B85DCE9" w14:textId="77777777" w:rsidR="00196632" w:rsidRPr="00196632" w:rsidRDefault="00196632" w:rsidP="00196632">
            <w:pPr>
              <w:spacing w:line="276" w:lineRule="auto"/>
              <w:rPr>
                <w:rFonts w:cstheme="minorHAnsi"/>
              </w:rPr>
            </w:pPr>
            <w:r w:rsidRPr="00196632">
              <w:rPr>
                <w:rFonts w:cstheme="minorHAnsi"/>
              </w:rPr>
              <w:t>AQ2: Remote Support &amp; Monitoring</w:t>
            </w:r>
          </w:p>
        </w:tc>
        <w:tc>
          <w:tcPr>
            <w:tcW w:w="2127" w:type="dxa"/>
          </w:tcPr>
          <w:p w14:paraId="1978A3AC"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442BCCD5" w14:textId="4E34EC13" w:rsidR="00196632" w:rsidRPr="005B70F8" w:rsidRDefault="00196632" w:rsidP="00196632">
            <w:pPr>
              <w:spacing w:line="276" w:lineRule="auto"/>
              <w:jc w:val="center"/>
              <w:rPr>
                <w:rFonts w:cstheme="minorHAnsi"/>
              </w:rPr>
            </w:pPr>
            <w:r w:rsidRPr="005C7D3C">
              <w:rPr>
                <w:rFonts w:cstheme="minorHAnsi"/>
              </w:rPr>
              <w:t>15</w:t>
            </w:r>
          </w:p>
        </w:tc>
      </w:tr>
      <w:tr w:rsidR="00196632" w:rsidRPr="005B70F8" w14:paraId="0190AA06" w14:textId="77777777" w:rsidTr="00F63B27">
        <w:tc>
          <w:tcPr>
            <w:tcW w:w="3402" w:type="dxa"/>
          </w:tcPr>
          <w:p w14:paraId="31A3FB5A" w14:textId="77777777" w:rsidR="00196632" w:rsidRPr="00196632" w:rsidRDefault="00196632" w:rsidP="00196632">
            <w:pPr>
              <w:spacing w:line="276" w:lineRule="auto"/>
              <w:rPr>
                <w:rFonts w:cstheme="minorHAnsi"/>
              </w:rPr>
            </w:pPr>
            <w:r w:rsidRPr="00196632">
              <w:rPr>
                <w:rFonts w:cstheme="minorHAnsi"/>
              </w:rPr>
              <w:t>AQ3: Onsite Support Services</w:t>
            </w:r>
          </w:p>
        </w:tc>
        <w:tc>
          <w:tcPr>
            <w:tcW w:w="2127" w:type="dxa"/>
          </w:tcPr>
          <w:p w14:paraId="7AEE6BD5"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27ABB6CD" w14:textId="530F3550" w:rsidR="00196632" w:rsidRPr="005B70F8" w:rsidRDefault="00196632" w:rsidP="00196632">
            <w:pPr>
              <w:spacing w:line="276" w:lineRule="auto"/>
              <w:jc w:val="center"/>
              <w:rPr>
                <w:rFonts w:cstheme="minorHAnsi"/>
              </w:rPr>
            </w:pPr>
            <w:r w:rsidRPr="005C7D3C">
              <w:rPr>
                <w:rFonts w:cstheme="minorHAnsi"/>
              </w:rPr>
              <w:t>20</w:t>
            </w:r>
          </w:p>
        </w:tc>
      </w:tr>
      <w:tr w:rsidR="00196632" w:rsidRPr="005B70F8" w14:paraId="25570121" w14:textId="77777777" w:rsidTr="00F63B27">
        <w:tc>
          <w:tcPr>
            <w:tcW w:w="3402" w:type="dxa"/>
          </w:tcPr>
          <w:p w14:paraId="25D7499A" w14:textId="77777777" w:rsidR="00196632" w:rsidRPr="00196632" w:rsidRDefault="00196632" w:rsidP="00196632">
            <w:pPr>
              <w:spacing w:line="276" w:lineRule="auto"/>
              <w:rPr>
                <w:rFonts w:cstheme="minorHAnsi"/>
              </w:rPr>
            </w:pPr>
            <w:r w:rsidRPr="00196632">
              <w:rPr>
                <w:rFonts w:cstheme="minorHAnsi"/>
              </w:rPr>
              <w:t>AQ4: Ancillary Services</w:t>
            </w:r>
          </w:p>
        </w:tc>
        <w:tc>
          <w:tcPr>
            <w:tcW w:w="2127" w:type="dxa"/>
          </w:tcPr>
          <w:p w14:paraId="4F2F4CDF"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64A4E7A1" w14:textId="221E6728" w:rsidR="00196632" w:rsidRPr="005B70F8" w:rsidRDefault="00196632" w:rsidP="00196632">
            <w:pPr>
              <w:spacing w:line="276" w:lineRule="auto"/>
              <w:jc w:val="center"/>
              <w:rPr>
                <w:rFonts w:cstheme="minorHAnsi"/>
              </w:rPr>
            </w:pPr>
            <w:r w:rsidRPr="005C7D3C">
              <w:rPr>
                <w:rFonts w:cstheme="minorHAnsi"/>
              </w:rPr>
              <w:t>10</w:t>
            </w:r>
          </w:p>
        </w:tc>
      </w:tr>
      <w:tr w:rsidR="00196632" w:rsidRPr="005B70F8" w14:paraId="6222722C" w14:textId="77777777" w:rsidTr="00F63B27">
        <w:tc>
          <w:tcPr>
            <w:tcW w:w="3402" w:type="dxa"/>
          </w:tcPr>
          <w:p w14:paraId="15D30936" w14:textId="77777777" w:rsidR="00196632" w:rsidRPr="00196632" w:rsidRDefault="00196632" w:rsidP="00196632">
            <w:pPr>
              <w:spacing w:line="276" w:lineRule="auto"/>
              <w:rPr>
                <w:rFonts w:cstheme="minorHAnsi"/>
              </w:rPr>
            </w:pPr>
            <w:r w:rsidRPr="00196632">
              <w:rPr>
                <w:rFonts w:cstheme="minorHAnsi"/>
              </w:rPr>
              <w:t>AQ5: Strategic Services</w:t>
            </w:r>
          </w:p>
        </w:tc>
        <w:tc>
          <w:tcPr>
            <w:tcW w:w="2127" w:type="dxa"/>
          </w:tcPr>
          <w:p w14:paraId="5C151543"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2FDD9178" w14:textId="4F5E02AB" w:rsidR="00196632" w:rsidRPr="005B70F8" w:rsidRDefault="00196632" w:rsidP="00196632">
            <w:pPr>
              <w:spacing w:line="276" w:lineRule="auto"/>
              <w:jc w:val="center"/>
              <w:rPr>
                <w:rFonts w:cstheme="minorHAnsi"/>
              </w:rPr>
            </w:pPr>
            <w:r w:rsidRPr="005C7D3C">
              <w:rPr>
                <w:rFonts w:cstheme="minorHAnsi"/>
              </w:rPr>
              <w:t>10</w:t>
            </w:r>
          </w:p>
        </w:tc>
      </w:tr>
      <w:tr w:rsidR="00196632" w:rsidRPr="005B70F8" w14:paraId="7004E53F" w14:textId="77777777" w:rsidTr="00F63B27">
        <w:tc>
          <w:tcPr>
            <w:tcW w:w="3402" w:type="dxa"/>
          </w:tcPr>
          <w:p w14:paraId="5E82EA0F" w14:textId="77777777" w:rsidR="00196632" w:rsidRPr="00196632" w:rsidRDefault="00196632" w:rsidP="00196632">
            <w:pPr>
              <w:spacing w:line="276" w:lineRule="auto"/>
              <w:rPr>
                <w:rFonts w:cstheme="minorHAnsi"/>
              </w:rPr>
            </w:pPr>
            <w:r w:rsidRPr="00196632">
              <w:rPr>
                <w:rFonts w:cstheme="minorHAnsi"/>
              </w:rPr>
              <w:t>AQ6: Contract Management</w:t>
            </w:r>
          </w:p>
        </w:tc>
        <w:tc>
          <w:tcPr>
            <w:tcW w:w="2127" w:type="dxa"/>
          </w:tcPr>
          <w:p w14:paraId="5F5A26C0"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208D83C5" w14:textId="672E5639" w:rsidR="00196632" w:rsidRPr="005B70F8" w:rsidRDefault="00196632" w:rsidP="00196632">
            <w:pPr>
              <w:spacing w:line="276" w:lineRule="auto"/>
              <w:jc w:val="center"/>
              <w:rPr>
                <w:rFonts w:cstheme="minorHAnsi"/>
              </w:rPr>
            </w:pPr>
            <w:r w:rsidRPr="005C7D3C">
              <w:rPr>
                <w:rFonts w:cstheme="minorHAnsi"/>
              </w:rPr>
              <w:t>10</w:t>
            </w:r>
          </w:p>
        </w:tc>
      </w:tr>
      <w:tr w:rsidR="00196632" w:rsidRPr="005B70F8" w14:paraId="54EB13FE" w14:textId="77777777" w:rsidTr="00F63B27">
        <w:tc>
          <w:tcPr>
            <w:tcW w:w="3402" w:type="dxa"/>
          </w:tcPr>
          <w:p w14:paraId="06DB8313" w14:textId="77777777" w:rsidR="00196632" w:rsidRPr="00196632" w:rsidRDefault="00196632" w:rsidP="00196632">
            <w:pPr>
              <w:spacing w:line="276" w:lineRule="auto"/>
              <w:rPr>
                <w:rFonts w:cstheme="minorHAnsi"/>
              </w:rPr>
            </w:pPr>
            <w:r w:rsidRPr="00196632">
              <w:rPr>
                <w:rFonts w:cstheme="minorHAnsi"/>
              </w:rPr>
              <w:t>AQ7: Migration &amp; Exit Management</w:t>
            </w:r>
          </w:p>
        </w:tc>
        <w:tc>
          <w:tcPr>
            <w:tcW w:w="2127" w:type="dxa"/>
          </w:tcPr>
          <w:p w14:paraId="2E4013A5"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6B3E6D11" w14:textId="04DA814A" w:rsidR="00196632" w:rsidRPr="005B70F8" w:rsidRDefault="00196632" w:rsidP="00196632">
            <w:pPr>
              <w:spacing w:line="276" w:lineRule="auto"/>
              <w:jc w:val="center"/>
              <w:rPr>
                <w:rFonts w:cstheme="minorHAnsi"/>
              </w:rPr>
            </w:pPr>
            <w:r w:rsidRPr="005C7D3C">
              <w:rPr>
                <w:rFonts w:cstheme="minorHAnsi"/>
              </w:rPr>
              <w:t>20</w:t>
            </w:r>
          </w:p>
        </w:tc>
      </w:tr>
      <w:tr w:rsidR="00196632" w:rsidRPr="005B70F8" w14:paraId="0680FC90" w14:textId="77777777" w:rsidTr="00F63B27">
        <w:tc>
          <w:tcPr>
            <w:tcW w:w="3402" w:type="dxa"/>
          </w:tcPr>
          <w:p w14:paraId="596AE9FD" w14:textId="77777777" w:rsidR="00196632" w:rsidRPr="00196632" w:rsidRDefault="00196632" w:rsidP="00196632">
            <w:pPr>
              <w:spacing w:line="276" w:lineRule="auto"/>
              <w:rPr>
                <w:rFonts w:cstheme="minorHAnsi"/>
              </w:rPr>
            </w:pPr>
            <w:r w:rsidRPr="00196632">
              <w:rPr>
                <w:rFonts w:cstheme="minorHAnsi"/>
              </w:rPr>
              <w:t>AQ8: Social Value</w:t>
            </w:r>
          </w:p>
        </w:tc>
        <w:tc>
          <w:tcPr>
            <w:tcW w:w="2127" w:type="dxa"/>
          </w:tcPr>
          <w:p w14:paraId="759F6C45" w14:textId="77777777" w:rsidR="00196632" w:rsidRPr="005B70F8" w:rsidRDefault="00196632" w:rsidP="00196632">
            <w:pPr>
              <w:spacing w:line="276" w:lineRule="auto"/>
              <w:jc w:val="center"/>
              <w:rPr>
                <w:rFonts w:cstheme="minorHAnsi"/>
              </w:rPr>
            </w:pPr>
            <w:r w:rsidRPr="005B70F8">
              <w:rPr>
                <w:rFonts w:cstheme="minorHAnsi"/>
              </w:rPr>
              <w:t>0-5</w:t>
            </w:r>
          </w:p>
        </w:tc>
        <w:tc>
          <w:tcPr>
            <w:tcW w:w="2551" w:type="dxa"/>
          </w:tcPr>
          <w:p w14:paraId="00097959" w14:textId="5AD7C279" w:rsidR="00196632" w:rsidRPr="005B70F8" w:rsidRDefault="00196632" w:rsidP="00196632">
            <w:pPr>
              <w:spacing w:line="276" w:lineRule="auto"/>
              <w:jc w:val="center"/>
              <w:rPr>
                <w:rFonts w:cstheme="minorHAnsi"/>
              </w:rPr>
            </w:pPr>
            <w:r w:rsidRPr="005C7D3C">
              <w:rPr>
                <w:rFonts w:cstheme="minorHAnsi"/>
              </w:rPr>
              <w:t>5</w:t>
            </w:r>
          </w:p>
        </w:tc>
      </w:tr>
      <w:tr w:rsidR="00F63B27" w:rsidRPr="005B70F8" w14:paraId="3A508C3B" w14:textId="77777777" w:rsidTr="00F63B27">
        <w:tc>
          <w:tcPr>
            <w:tcW w:w="3402" w:type="dxa"/>
          </w:tcPr>
          <w:p w14:paraId="1D65E0C1" w14:textId="77777777" w:rsidR="00F63B27" w:rsidRPr="005B70F8" w:rsidRDefault="00F63B27" w:rsidP="002367AB">
            <w:pPr>
              <w:spacing w:line="276" w:lineRule="auto"/>
              <w:rPr>
                <w:rFonts w:cstheme="minorHAnsi"/>
                <w:b/>
                <w:bCs/>
              </w:rPr>
            </w:pPr>
            <w:r w:rsidRPr="005B70F8">
              <w:rPr>
                <w:rFonts w:cstheme="minorHAnsi"/>
                <w:b/>
                <w:bCs/>
              </w:rPr>
              <w:t>Totals</w:t>
            </w:r>
          </w:p>
        </w:tc>
        <w:tc>
          <w:tcPr>
            <w:tcW w:w="2127" w:type="dxa"/>
          </w:tcPr>
          <w:p w14:paraId="686C1556" w14:textId="77777777" w:rsidR="00F63B27" w:rsidRPr="005B70F8" w:rsidRDefault="00F63B27" w:rsidP="002367AB">
            <w:pPr>
              <w:spacing w:line="276" w:lineRule="auto"/>
              <w:jc w:val="center"/>
              <w:rPr>
                <w:rFonts w:cstheme="minorHAnsi"/>
                <w:b/>
                <w:bCs/>
              </w:rPr>
            </w:pPr>
            <w:r w:rsidRPr="005B70F8">
              <w:rPr>
                <w:rFonts w:cstheme="minorHAnsi"/>
                <w:b/>
                <w:bCs/>
              </w:rPr>
              <w:t>0-40</w:t>
            </w:r>
          </w:p>
        </w:tc>
        <w:tc>
          <w:tcPr>
            <w:tcW w:w="2551" w:type="dxa"/>
          </w:tcPr>
          <w:p w14:paraId="157B67FA" w14:textId="77777777" w:rsidR="00F63B27" w:rsidRPr="005B70F8" w:rsidRDefault="00F63B27" w:rsidP="002367AB">
            <w:pPr>
              <w:spacing w:line="276" w:lineRule="auto"/>
              <w:jc w:val="center"/>
              <w:rPr>
                <w:rFonts w:cstheme="minorHAnsi"/>
                <w:b/>
                <w:bCs/>
              </w:rPr>
            </w:pPr>
            <w:r w:rsidRPr="005B70F8">
              <w:rPr>
                <w:rFonts w:cstheme="minorHAnsi"/>
                <w:b/>
                <w:bCs/>
              </w:rPr>
              <w:t>100</w:t>
            </w:r>
          </w:p>
        </w:tc>
      </w:tr>
    </w:tbl>
    <w:p w14:paraId="4E977908" w14:textId="77777777" w:rsidR="00F63B27" w:rsidRDefault="00F63B27" w:rsidP="00F63B27">
      <w:pPr>
        <w:spacing w:line="276" w:lineRule="auto"/>
        <w:ind w:left="1077"/>
        <w:jc w:val="both"/>
      </w:pPr>
    </w:p>
    <w:p w14:paraId="31019BBD" w14:textId="77777777" w:rsidR="00F63B27" w:rsidRPr="00370D68" w:rsidRDefault="00F63B27" w:rsidP="00F63B27">
      <w:pPr>
        <w:spacing w:line="276" w:lineRule="auto"/>
        <w:ind w:left="1077"/>
        <w:rPr>
          <w:rFonts w:cstheme="minorHAnsi"/>
        </w:rPr>
      </w:pPr>
      <w:r w:rsidRPr="00370D68">
        <w:rPr>
          <w:rFonts w:cstheme="minorHAnsi"/>
        </w:rPr>
        <w:t xml:space="preserve">The response to each AQ will be evaluated utilising the </w:t>
      </w:r>
      <w:r w:rsidRPr="00370D68">
        <w:rPr>
          <w:rFonts w:cstheme="minorHAnsi"/>
          <w:b/>
          <w:bCs/>
        </w:rPr>
        <w:t>Qualitative Assessment</w:t>
      </w:r>
      <w:r w:rsidRPr="00370D68">
        <w:rPr>
          <w:rFonts w:cstheme="minorHAnsi"/>
        </w:rPr>
        <w:t xml:space="preserve"> table detailed below and for each response, an initial Score between 0 - 5 will be determined and used to award a mark. </w:t>
      </w:r>
    </w:p>
    <w:p w14:paraId="25C076EE" w14:textId="77777777" w:rsidR="00F63B27" w:rsidRDefault="00F63B27" w:rsidP="00F63B27">
      <w:pPr>
        <w:rPr>
          <w:b/>
          <w:bCs/>
        </w:rPr>
      </w:pPr>
      <w:bookmarkStart w:id="193" w:name="_Toc117090071"/>
    </w:p>
    <w:p w14:paraId="639F570F" w14:textId="77777777" w:rsidR="00F63B27" w:rsidRPr="003605A6" w:rsidRDefault="00F63B27" w:rsidP="00AB6AE2">
      <w:pPr>
        <w:pStyle w:val="Level2"/>
      </w:pPr>
      <w:r w:rsidRPr="003605A6">
        <w:t>Qualitative Assessment table</w:t>
      </w:r>
      <w:bookmarkEnd w:id="193"/>
    </w:p>
    <w:tbl>
      <w:tblPr>
        <w:tblStyle w:val="TableGrid"/>
        <w:tblW w:w="8505" w:type="dxa"/>
        <w:tblInd w:w="1129" w:type="dxa"/>
        <w:tblLook w:val="04A0" w:firstRow="1" w:lastRow="0" w:firstColumn="1" w:lastColumn="0" w:noHBand="0" w:noVBand="1"/>
      </w:tblPr>
      <w:tblGrid>
        <w:gridCol w:w="709"/>
        <w:gridCol w:w="6095"/>
        <w:gridCol w:w="1701"/>
      </w:tblGrid>
      <w:tr w:rsidR="00F63B27" w:rsidRPr="00707044" w14:paraId="5BE53928" w14:textId="77777777" w:rsidTr="002367AB">
        <w:tc>
          <w:tcPr>
            <w:tcW w:w="709" w:type="dxa"/>
          </w:tcPr>
          <w:p w14:paraId="72DBC90A" w14:textId="77777777" w:rsidR="00F63B27" w:rsidRPr="00707044" w:rsidRDefault="00F63B27" w:rsidP="002367AB">
            <w:pPr>
              <w:jc w:val="center"/>
              <w:rPr>
                <w:rFonts w:cstheme="minorHAnsi"/>
                <w:color w:val="000000" w:themeColor="text1"/>
              </w:rPr>
            </w:pPr>
            <w:r w:rsidRPr="00707044">
              <w:rPr>
                <w:rFonts w:cstheme="minorHAnsi"/>
                <w:b/>
                <w:bCs/>
                <w:color w:val="000000" w:themeColor="text1"/>
              </w:rPr>
              <w:t>Score</w:t>
            </w:r>
          </w:p>
        </w:tc>
        <w:tc>
          <w:tcPr>
            <w:tcW w:w="6095" w:type="dxa"/>
          </w:tcPr>
          <w:p w14:paraId="74BC88BA" w14:textId="77777777" w:rsidR="00F63B27" w:rsidRPr="00707044" w:rsidRDefault="00F63B27" w:rsidP="002367AB">
            <w:pPr>
              <w:rPr>
                <w:rFonts w:cstheme="minorHAnsi"/>
                <w:color w:val="000000" w:themeColor="text1"/>
              </w:rPr>
            </w:pPr>
            <w:r>
              <w:rPr>
                <w:rFonts w:cstheme="minorHAnsi"/>
                <w:b/>
                <w:bCs/>
                <w:color w:val="000000" w:themeColor="text1"/>
              </w:rPr>
              <w:t>Description</w:t>
            </w:r>
          </w:p>
        </w:tc>
        <w:tc>
          <w:tcPr>
            <w:tcW w:w="1701" w:type="dxa"/>
          </w:tcPr>
          <w:p w14:paraId="7FD650C3" w14:textId="77777777" w:rsidR="00F63B27" w:rsidRPr="00707044" w:rsidRDefault="00F63B27" w:rsidP="002367AB">
            <w:pPr>
              <w:rPr>
                <w:rFonts w:cstheme="minorHAnsi"/>
                <w:color w:val="000000" w:themeColor="text1"/>
              </w:rPr>
            </w:pPr>
            <w:r w:rsidRPr="00707044">
              <w:rPr>
                <w:rFonts w:cstheme="minorHAnsi"/>
                <w:b/>
                <w:bCs/>
                <w:color w:val="000000" w:themeColor="text1"/>
              </w:rPr>
              <w:t>Assessment</w:t>
            </w:r>
          </w:p>
        </w:tc>
      </w:tr>
      <w:tr w:rsidR="00F63B27" w:rsidRPr="00707044" w14:paraId="3FE31CC4" w14:textId="77777777" w:rsidTr="002367AB">
        <w:tc>
          <w:tcPr>
            <w:tcW w:w="709" w:type="dxa"/>
          </w:tcPr>
          <w:p w14:paraId="03CE982A" w14:textId="77777777" w:rsidR="00F63B27" w:rsidRPr="00707044" w:rsidRDefault="00F63B27" w:rsidP="002367AB">
            <w:pPr>
              <w:jc w:val="center"/>
              <w:rPr>
                <w:rFonts w:cstheme="minorHAnsi"/>
              </w:rPr>
            </w:pPr>
            <w:r w:rsidRPr="00707044">
              <w:rPr>
                <w:rFonts w:cstheme="minorHAnsi"/>
              </w:rPr>
              <w:t>5</w:t>
            </w:r>
          </w:p>
        </w:tc>
        <w:tc>
          <w:tcPr>
            <w:tcW w:w="6095" w:type="dxa"/>
          </w:tcPr>
          <w:p w14:paraId="27B03490" w14:textId="19EE5DA3" w:rsidR="00F63B27" w:rsidRPr="004E5A00" w:rsidRDefault="00F63B27" w:rsidP="002367AB">
            <w:pPr>
              <w:pStyle w:val="ListParagraph"/>
              <w:numPr>
                <w:ilvl w:val="0"/>
                <w:numId w:val="11"/>
              </w:numPr>
              <w:tabs>
                <w:tab w:val="clear" w:pos="993"/>
              </w:tabs>
              <w:spacing w:line="240" w:lineRule="auto"/>
              <w:ind w:left="360"/>
              <w:contextualSpacing/>
              <w:outlineLvl w:val="9"/>
              <w:rPr>
                <w:b w:val="0"/>
                <w:bCs w:val="0"/>
                <w:color w:val="auto"/>
              </w:rPr>
            </w:pPr>
            <w:r w:rsidRPr="004E5A00">
              <w:rPr>
                <w:b w:val="0"/>
                <w:bCs w:val="0"/>
                <w:color w:val="auto"/>
              </w:rPr>
              <w:t>The response completely covers all the competencies, services and deliverables requested in Requirement and Required Response from the Award Questionnaire table.</w:t>
            </w:r>
          </w:p>
          <w:p w14:paraId="2DDD3FB8" w14:textId="77777777" w:rsidR="00F63B27" w:rsidRPr="004E5A00" w:rsidRDefault="00F63B27" w:rsidP="002367AB">
            <w:pPr>
              <w:pStyle w:val="ListParagraph"/>
              <w:numPr>
                <w:ilvl w:val="0"/>
                <w:numId w:val="11"/>
              </w:numPr>
              <w:tabs>
                <w:tab w:val="clear" w:pos="993"/>
              </w:tabs>
              <w:spacing w:line="240" w:lineRule="auto"/>
              <w:ind w:left="360"/>
              <w:contextualSpacing/>
              <w:outlineLvl w:val="9"/>
              <w:rPr>
                <w:b w:val="0"/>
                <w:bCs w:val="0"/>
                <w:color w:val="auto"/>
              </w:rPr>
            </w:pPr>
            <w:r w:rsidRPr="004E5A00">
              <w:rPr>
                <w:b w:val="0"/>
                <w:bCs w:val="0"/>
                <w:color w:val="auto"/>
              </w:rPr>
              <w:t>The response demonstrates a thorough understanding of the requirements and provides a clear, succinct yet detailed explanation of how the requirements will be met.</w:t>
            </w:r>
          </w:p>
          <w:p w14:paraId="1BE253A8" w14:textId="77777777" w:rsidR="00F63B27" w:rsidRPr="004E5A00" w:rsidRDefault="00F63B27" w:rsidP="002367AB">
            <w:pPr>
              <w:pStyle w:val="ListParagraph"/>
              <w:numPr>
                <w:ilvl w:val="0"/>
                <w:numId w:val="11"/>
              </w:numPr>
              <w:tabs>
                <w:tab w:val="clear" w:pos="993"/>
              </w:tabs>
              <w:spacing w:line="240" w:lineRule="auto"/>
              <w:ind w:left="360"/>
              <w:contextualSpacing/>
              <w:outlineLvl w:val="9"/>
              <w:rPr>
                <w:b w:val="0"/>
                <w:bCs w:val="0"/>
                <w:color w:val="auto"/>
              </w:rPr>
            </w:pPr>
            <w:r w:rsidRPr="004E5A00">
              <w:rPr>
                <w:b w:val="0"/>
                <w:bCs w:val="0"/>
                <w:color w:val="auto"/>
              </w:rPr>
              <w:t>The response provides consistent, significant, relevant added value that is Economically Advantageous.</w:t>
            </w:r>
          </w:p>
          <w:p w14:paraId="54B01764" w14:textId="77777777" w:rsidR="00F63B27" w:rsidRPr="004E5A00" w:rsidRDefault="00F63B27" w:rsidP="002367AB">
            <w:pPr>
              <w:pStyle w:val="ListParagraph"/>
              <w:numPr>
                <w:ilvl w:val="0"/>
                <w:numId w:val="11"/>
              </w:numPr>
              <w:tabs>
                <w:tab w:val="clear" w:pos="993"/>
              </w:tabs>
              <w:spacing w:line="240" w:lineRule="auto"/>
              <w:ind w:left="360"/>
              <w:contextualSpacing/>
              <w:outlineLvl w:val="9"/>
              <w:rPr>
                <w:b w:val="0"/>
                <w:bCs w:val="0"/>
                <w:color w:val="auto"/>
              </w:rPr>
            </w:pPr>
            <w:r w:rsidRPr="004E5A00">
              <w:rPr>
                <w:b w:val="0"/>
                <w:bCs w:val="0"/>
                <w:color w:val="auto"/>
              </w:rPr>
              <w:t>There are no significant and/or relevant risks, assumptions and/or gaps present, thus highly convincing.</w:t>
            </w:r>
          </w:p>
        </w:tc>
        <w:tc>
          <w:tcPr>
            <w:tcW w:w="1701" w:type="dxa"/>
          </w:tcPr>
          <w:p w14:paraId="027E3C7C" w14:textId="77777777" w:rsidR="00F63B27" w:rsidRPr="00707044" w:rsidRDefault="00F63B27" w:rsidP="002367AB">
            <w:pPr>
              <w:rPr>
                <w:rFonts w:cstheme="minorHAnsi"/>
              </w:rPr>
            </w:pPr>
            <w:r w:rsidRPr="00707044">
              <w:rPr>
                <w:rFonts w:cstheme="minorHAnsi"/>
              </w:rPr>
              <w:t>Excellent.</w:t>
            </w:r>
            <w:r>
              <w:rPr>
                <w:rFonts w:cstheme="minorHAnsi"/>
              </w:rPr>
              <w:t xml:space="preserve"> </w:t>
            </w:r>
            <w:r w:rsidRPr="00707044">
              <w:rPr>
                <w:rFonts w:cstheme="minorHAnsi"/>
              </w:rPr>
              <w:t>Highly capable with consistent, significant, relevant added value. No significant risks or gaps.</w:t>
            </w:r>
          </w:p>
        </w:tc>
      </w:tr>
      <w:tr w:rsidR="00F63B27" w:rsidRPr="00707044" w14:paraId="7A91106B" w14:textId="77777777" w:rsidTr="002367AB">
        <w:tc>
          <w:tcPr>
            <w:tcW w:w="709" w:type="dxa"/>
          </w:tcPr>
          <w:p w14:paraId="06D35C22" w14:textId="77777777" w:rsidR="00F63B27" w:rsidRPr="00707044" w:rsidRDefault="00F63B27" w:rsidP="002367AB">
            <w:pPr>
              <w:jc w:val="center"/>
              <w:rPr>
                <w:rFonts w:cstheme="minorHAnsi"/>
              </w:rPr>
            </w:pPr>
            <w:r w:rsidRPr="00707044">
              <w:rPr>
                <w:rFonts w:cstheme="minorHAnsi"/>
              </w:rPr>
              <w:t>4</w:t>
            </w:r>
          </w:p>
        </w:tc>
        <w:tc>
          <w:tcPr>
            <w:tcW w:w="6095" w:type="dxa"/>
          </w:tcPr>
          <w:p w14:paraId="75822F0F" w14:textId="688AF2E8" w:rsidR="00F63B27" w:rsidRPr="004E5A00" w:rsidRDefault="00F63B27" w:rsidP="002367AB">
            <w:pPr>
              <w:pStyle w:val="ListParagraph"/>
              <w:numPr>
                <w:ilvl w:val="0"/>
                <w:numId w:val="12"/>
              </w:numPr>
              <w:tabs>
                <w:tab w:val="clear" w:pos="993"/>
              </w:tabs>
              <w:spacing w:line="240" w:lineRule="auto"/>
              <w:ind w:left="360"/>
              <w:contextualSpacing/>
              <w:outlineLvl w:val="9"/>
              <w:rPr>
                <w:b w:val="0"/>
                <w:bCs w:val="0"/>
                <w:color w:val="auto"/>
              </w:rPr>
            </w:pPr>
            <w:r w:rsidRPr="004E5A00">
              <w:rPr>
                <w:b w:val="0"/>
                <w:bCs w:val="0"/>
                <w:color w:val="auto"/>
              </w:rPr>
              <w:t>The response meets the competencies, services and deliverables requested in Requirement and Required Response from the Award Questionnaire table.</w:t>
            </w:r>
          </w:p>
          <w:p w14:paraId="1E5440D2" w14:textId="77777777" w:rsidR="00F63B27" w:rsidRPr="004E5A00" w:rsidRDefault="00F63B27" w:rsidP="002367AB">
            <w:pPr>
              <w:pStyle w:val="ListParagraph"/>
              <w:numPr>
                <w:ilvl w:val="0"/>
                <w:numId w:val="12"/>
              </w:numPr>
              <w:tabs>
                <w:tab w:val="clear" w:pos="993"/>
              </w:tabs>
              <w:spacing w:line="240" w:lineRule="auto"/>
              <w:ind w:left="360"/>
              <w:contextualSpacing/>
              <w:outlineLvl w:val="9"/>
              <w:rPr>
                <w:b w:val="0"/>
                <w:bCs w:val="0"/>
                <w:color w:val="auto"/>
              </w:rPr>
            </w:pPr>
            <w:r w:rsidRPr="004E5A00">
              <w:rPr>
                <w:b w:val="0"/>
                <w:bCs w:val="0"/>
                <w:color w:val="auto"/>
              </w:rPr>
              <w:t>The response demonstrates a very good yet not completely thorough understanding of the requirements and provides a broadly clear, succinct yet detailed explanation of how the requirements will be met.</w:t>
            </w:r>
          </w:p>
          <w:p w14:paraId="21478132" w14:textId="77777777" w:rsidR="00F63B27" w:rsidRPr="004E5A00" w:rsidRDefault="00F63B27" w:rsidP="002367AB">
            <w:pPr>
              <w:pStyle w:val="ListParagraph"/>
              <w:numPr>
                <w:ilvl w:val="0"/>
                <w:numId w:val="12"/>
              </w:numPr>
              <w:tabs>
                <w:tab w:val="clear" w:pos="993"/>
              </w:tabs>
              <w:spacing w:line="240" w:lineRule="auto"/>
              <w:ind w:left="360"/>
              <w:contextualSpacing/>
              <w:outlineLvl w:val="9"/>
              <w:rPr>
                <w:b w:val="0"/>
                <w:bCs w:val="0"/>
                <w:color w:val="auto"/>
              </w:rPr>
            </w:pPr>
            <w:r w:rsidRPr="004E5A00">
              <w:rPr>
                <w:b w:val="0"/>
                <w:bCs w:val="0"/>
                <w:color w:val="auto"/>
              </w:rPr>
              <w:t>The response provides broadly consistent, significant, relevant added value that is Economically Advantageous.</w:t>
            </w:r>
          </w:p>
          <w:p w14:paraId="4F342AE3" w14:textId="77777777" w:rsidR="00F63B27" w:rsidRPr="004E5A00" w:rsidRDefault="00F63B27" w:rsidP="002367AB">
            <w:pPr>
              <w:pStyle w:val="ListParagraph"/>
              <w:numPr>
                <w:ilvl w:val="0"/>
                <w:numId w:val="12"/>
              </w:numPr>
              <w:tabs>
                <w:tab w:val="clear" w:pos="993"/>
              </w:tabs>
              <w:spacing w:line="240" w:lineRule="auto"/>
              <w:ind w:left="360"/>
              <w:contextualSpacing/>
              <w:outlineLvl w:val="9"/>
              <w:rPr>
                <w:b w:val="0"/>
                <w:bCs w:val="0"/>
                <w:color w:val="auto"/>
              </w:rPr>
            </w:pPr>
            <w:r w:rsidRPr="004E5A00">
              <w:rPr>
                <w:b w:val="0"/>
                <w:bCs w:val="0"/>
                <w:color w:val="auto"/>
              </w:rPr>
              <w:t>There is a very small quantity of significant and/or relevant risks, assumptions and/or gaps present, thus very convincing.</w:t>
            </w:r>
          </w:p>
        </w:tc>
        <w:tc>
          <w:tcPr>
            <w:tcW w:w="1701" w:type="dxa"/>
          </w:tcPr>
          <w:p w14:paraId="1F5E2A7F" w14:textId="77777777" w:rsidR="00F63B27" w:rsidRPr="00707044" w:rsidRDefault="00F63B27" w:rsidP="002367AB">
            <w:pPr>
              <w:rPr>
                <w:rFonts w:cstheme="minorHAnsi"/>
              </w:rPr>
            </w:pPr>
            <w:r w:rsidRPr="00707044">
              <w:rPr>
                <w:rFonts w:cstheme="minorHAnsi"/>
              </w:rPr>
              <w:t>Very</w:t>
            </w:r>
            <w:r>
              <w:rPr>
                <w:rFonts w:cstheme="minorHAnsi"/>
              </w:rPr>
              <w:t xml:space="preserve"> g</w:t>
            </w:r>
            <w:r w:rsidRPr="00707044">
              <w:rPr>
                <w:rFonts w:cstheme="minorHAnsi"/>
              </w:rPr>
              <w:t>ood.</w:t>
            </w:r>
            <w:r>
              <w:rPr>
                <w:rFonts w:cstheme="minorHAnsi"/>
              </w:rPr>
              <w:t xml:space="preserve"> </w:t>
            </w:r>
            <w:r w:rsidRPr="00707044">
              <w:rPr>
                <w:rFonts w:cstheme="minorHAnsi"/>
              </w:rPr>
              <w:t>Variably capable with variably consistent, significant, relevant added value. Very few significant risks or gaps.</w:t>
            </w:r>
          </w:p>
        </w:tc>
      </w:tr>
      <w:tr w:rsidR="00F63B27" w:rsidRPr="00707044" w14:paraId="7A5D3CE3" w14:textId="77777777" w:rsidTr="002367AB">
        <w:trPr>
          <w:trHeight w:val="132"/>
        </w:trPr>
        <w:tc>
          <w:tcPr>
            <w:tcW w:w="709" w:type="dxa"/>
          </w:tcPr>
          <w:p w14:paraId="2A2FC13F" w14:textId="77777777" w:rsidR="00F63B27" w:rsidRPr="00707044" w:rsidRDefault="00F63B27" w:rsidP="002367AB">
            <w:pPr>
              <w:jc w:val="center"/>
              <w:rPr>
                <w:rFonts w:cstheme="minorHAnsi"/>
              </w:rPr>
            </w:pPr>
            <w:r w:rsidRPr="00707044">
              <w:rPr>
                <w:rFonts w:cstheme="minorHAnsi"/>
              </w:rPr>
              <w:t>3</w:t>
            </w:r>
          </w:p>
        </w:tc>
        <w:tc>
          <w:tcPr>
            <w:tcW w:w="6095" w:type="dxa"/>
          </w:tcPr>
          <w:p w14:paraId="051568C7" w14:textId="35958D11" w:rsidR="00F63B27" w:rsidRPr="004E5A00" w:rsidRDefault="00F63B27" w:rsidP="002367AB">
            <w:pPr>
              <w:pStyle w:val="ListParagraph"/>
              <w:numPr>
                <w:ilvl w:val="0"/>
                <w:numId w:val="13"/>
              </w:numPr>
              <w:tabs>
                <w:tab w:val="clear" w:pos="993"/>
              </w:tabs>
              <w:spacing w:line="240" w:lineRule="auto"/>
              <w:ind w:left="360"/>
              <w:contextualSpacing/>
              <w:outlineLvl w:val="9"/>
              <w:rPr>
                <w:b w:val="0"/>
                <w:bCs w:val="0"/>
                <w:color w:val="auto"/>
              </w:rPr>
            </w:pPr>
            <w:r w:rsidRPr="004E5A00">
              <w:rPr>
                <w:b w:val="0"/>
                <w:bCs w:val="0"/>
                <w:color w:val="auto"/>
              </w:rPr>
              <w:t>The response meets the competencies, services and deliverables requested in Requirement and Required Response from the Award Questionnaire table.</w:t>
            </w:r>
          </w:p>
          <w:p w14:paraId="21615A6F" w14:textId="77777777" w:rsidR="00F63B27" w:rsidRPr="004E5A00" w:rsidRDefault="00F63B27" w:rsidP="002367AB">
            <w:pPr>
              <w:pStyle w:val="ListParagraph"/>
              <w:numPr>
                <w:ilvl w:val="0"/>
                <w:numId w:val="13"/>
              </w:numPr>
              <w:tabs>
                <w:tab w:val="clear" w:pos="993"/>
              </w:tabs>
              <w:spacing w:line="240" w:lineRule="auto"/>
              <w:ind w:left="360"/>
              <w:contextualSpacing/>
              <w:outlineLvl w:val="9"/>
              <w:rPr>
                <w:b w:val="0"/>
                <w:bCs w:val="0"/>
                <w:color w:val="auto"/>
              </w:rPr>
            </w:pPr>
            <w:r w:rsidRPr="004E5A00">
              <w:rPr>
                <w:b w:val="0"/>
                <w:bCs w:val="0"/>
                <w:color w:val="auto"/>
              </w:rPr>
              <w:t>The response demonstrates a compliant yet not completely thorough understanding of the requirements and provides a variably clear, succinct, and compliant explanation of how the requirements will be met.</w:t>
            </w:r>
          </w:p>
          <w:p w14:paraId="2ED71A62" w14:textId="77777777" w:rsidR="00F63B27" w:rsidRPr="004E5A00" w:rsidRDefault="00F63B27" w:rsidP="002367AB">
            <w:pPr>
              <w:pStyle w:val="ListParagraph"/>
              <w:numPr>
                <w:ilvl w:val="0"/>
                <w:numId w:val="13"/>
              </w:numPr>
              <w:tabs>
                <w:tab w:val="clear" w:pos="993"/>
              </w:tabs>
              <w:spacing w:line="240" w:lineRule="auto"/>
              <w:ind w:left="360"/>
              <w:contextualSpacing/>
              <w:outlineLvl w:val="9"/>
              <w:rPr>
                <w:b w:val="0"/>
                <w:bCs w:val="0"/>
                <w:color w:val="auto"/>
              </w:rPr>
            </w:pPr>
            <w:r w:rsidRPr="004E5A00">
              <w:rPr>
                <w:b w:val="0"/>
                <w:bCs w:val="0"/>
                <w:color w:val="auto"/>
              </w:rPr>
              <w:t>The response provides satisfactory yet variably significant, relevant added value that is Economically Advantageous.</w:t>
            </w:r>
          </w:p>
          <w:p w14:paraId="0D1BF513" w14:textId="77777777" w:rsidR="00F63B27" w:rsidRPr="004E5A00" w:rsidRDefault="00F63B27" w:rsidP="002367AB">
            <w:pPr>
              <w:pStyle w:val="ListParagraph"/>
              <w:numPr>
                <w:ilvl w:val="0"/>
                <w:numId w:val="13"/>
              </w:numPr>
              <w:tabs>
                <w:tab w:val="clear" w:pos="993"/>
              </w:tabs>
              <w:spacing w:line="240" w:lineRule="auto"/>
              <w:ind w:left="360"/>
              <w:contextualSpacing/>
              <w:outlineLvl w:val="9"/>
              <w:rPr>
                <w:b w:val="0"/>
                <w:bCs w:val="0"/>
                <w:color w:val="auto"/>
              </w:rPr>
            </w:pPr>
            <w:r w:rsidRPr="004E5A00">
              <w:rPr>
                <w:b w:val="0"/>
                <w:bCs w:val="0"/>
                <w:color w:val="auto"/>
              </w:rPr>
              <w:t>There is a small quantity of significant and/or relevant risks, assumptions and/or gaps present, thus broadly convincing.</w:t>
            </w:r>
          </w:p>
        </w:tc>
        <w:tc>
          <w:tcPr>
            <w:tcW w:w="1701" w:type="dxa"/>
          </w:tcPr>
          <w:p w14:paraId="04959AB8" w14:textId="77777777" w:rsidR="00F63B27" w:rsidRPr="00707044" w:rsidRDefault="00F63B27" w:rsidP="002367AB">
            <w:pPr>
              <w:rPr>
                <w:rFonts w:cstheme="minorHAnsi"/>
              </w:rPr>
            </w:pPr>
            <w:r w:rsidRPr="00707044">
              <w:rPr>
                <w:rFonts w:cstheme="minorHAnsi"/>
              </w:rPr>
              <w:t xml:space="preserve">Good. Meets </w:t>
            </w:r>
            <w:r>
              <w:rPr>
                <w:rFonts w:cstheme="minorHAnsi"/>
              </w:rPr>
              <w:t>r</w:t>
            </w:r>
            <w:r w:rsidRPr="00707044">
              <w:rPr>
                <w:rFonts w:cstheme="minorHAnsi"/>
              </w:rPr>
              <w:t>equirements with satisfactory yet variably significant, relevant added value. Few significant risks or gaps.</w:t>
            </w:r>
          </w:p>
        </w:tc>
      </w:tr>
      <w:tr w:rsidR="00F63B27" w:rsidRPr="00707044" w14:paraId="76CF5487" w14:textId="77777777" w:rsidTr="002367AB">
        <w:tc>
          <w:tcPr>
            <w:tcW w:w="709" w:type="dxa"/>
          </w:tcPr>
          <w:p w14:paraId="65F5CB92" w14:textId="77777777" w:rsidR="00F63B27" w:rsidRPr="00707044" w:rsidRDefault="00F63B27" w:rsidP="002367AB">
            <w:pPr>
              <w:jc w:val="center"/>
              <w:rPr>
                <w:rFonts w:cstheme="minorHAnsi"/>
              </w:rPr>
            </w:pPr>
            <w:r w:rsidRPr="00707044">
              <w:rPr>
                <w:rFonts w:cstheme="minorHAnsi"/>
              </w:rPr>
              <w:lastRenderedPageBreak/>
              <w:t>2</w:t>
            </w:r>
          </w:p>
        </w:tc>
        <w:tc>
          <w:tcPr>
            <w:tcW w:w="6095" w:type="dxa"/>
          </w:tcPr>
          <w:p w14:paraId="218F8AAA" w14:textId="45519666" w:rsidR="00F63B27" w:rsidRPr="004E5A00" w:rsidRDefault="00F63B27" w:rsidP="002367AB">
            <w:pPr>
              <w:pStyle w:val="ListParagraph"/>
              <w:numPr>
                <w:ilvl w:val="0"/>
                <w:numId w:val="14"/>
              </w:numPr>
              <w:tabs>
                <w:tab w:val="clear" w:pos="993"/>
              </w:tabs>
              <w:spacing w:line="240" w:lineRule="auto"/>
              <w:ind w:left="360"/>
              <w:contextualSpacing/>
              <w:outlineLvl w:val="9"/>
              <w:rPr>
                <w:b w:val="0"/>
                <w:bCs w:val="0"/>
                <w:color w:val="auto"/>
              </w:rPr>
            </w:pPr>
            <w:r w:rsidRPr="004E5A00">
              <w:rPr>
                <w:b w:val="0"/>
                <w:bCs w:val="0"/>
                <w:color w:val="auto"/>
              </w:rPr>
              <w:t>The response meets many yet not all the competencies, services and deliverables requested in Requirement and Required Response from the Award Questionnaire table.</w:t>
            </w:r>
          </w:p>
          <w:p w14:paraId="1AC76172" w14:textId="77777777" w:rsidR="00F63B27" w:rsidRPr="004E5A00" w:rsidRDefault="00F63B27" w:rsidP="002367AB">
            <w:pPr>
              <w:pStyle w:val="ListParagraph"/>
              <w:numPr>
                <w:ilvl w:val="0"/>
                <w:numId w:val="14"/>
              </w:numPr>
              <w:tabs>
                <w:tab w:val="clear" w:pos="993"/>
              </w:tabs>
              <w:spacing w:line="240" w:lineRule="auto"/>
              <w:ind w:left="360"/>
              <w:contextualSpacing/>
              <w:outlineLvl w:val="9"/>
              <w:rPr>
                <w:b w:val="0"/>
                <w:bCs w:val="0"/>
                <w:color w:val="auto"/>
              </w:rPr>
            </w:pPr>
            <w:r w:rsidRPr="004E5A00">
              <w:rPr>
                <w:b w:val="0"/>
                <w:bCs w:val="0"/>
                <w:color w:val="auto"/>
              </w:rPr>
              <w:t>The response demonstrates a broadly compliant yet not completely thorough understanding of the requirements and provides a variably clear, succinct, and compliant explanation of how the requirements will be met.</w:t>
            </w:r>
          </w:p>
          <w:p w14:paraId="6DF2030A" w14:textId="77777777" w:rsidR="00F63B27" w:rsidRPr="004E5A00" w:rsidRDefault="00F63B27" w:rsidP="002367AB">
            <w:pPr>
              <w:pStyle w:val="ListParagraph"/>
              <w:numPr>
                <w:ilvl w:val="0"/>
                <w:numId w:val="14"/>
              </w:numPr>
              <w:tabs>
                <w:tab w:val="clear" w:pos="993"/>
              </w:tabs>
              <w:spacing w:line="240" w:lineRule="auto"/>
              <w:ind w:left="360"/>
              <w:contextualSpacing/>
              <w:outlineLvl w:val="9"/>
              <w:rPr>
                <w:b w:val="0"/>
                <w:bCs w:val="0"/>
                <w:color w:val="auto"/>
              </w:rPr>
            </w:pPr>
            <w:r w:rsidRPr="004E5A00">
              <w:rPr>
                <w:b w:val="0"/>
                <w:bCs w:val="0"/>
                <w:color w:val="auto"/>
              </w:rPr>
              <w:t>The response provides variably significant, relevant added value with minor deficiencies or gaps that. is Economically Advantageous.</w:t>
            </w:r>
          </w:p>
          <w:p w14:paraId="786B9269" w14:textId="77777777" w:rsidR="00F63B27" w:rsidRPr="004E5A00" w:rsidRDefault="00F63B27" w:rsidP="002367AB">
            <w:pPr>
              <w:pStyle w:val="ListParagraph"/>
              <w:numPr>
                <w:ilvl w:val="0"/>
                <w:numId w:val="14"/>
              </w:numPr>
              <w:tabs>
                <w:tab w:val="clear" w:pos="993"/>
              </w:tabs>
              <w:spacing w:line="240" w:lineRule="auto"/>
              <w:ind w:left="360"/>
              <w:contextualSpacing/>
              <w:outlineLvl w:val="9"/>
              <w:rPr>
                <w:b w:val="0"/>
                <w:bCs w:val="0"/>
                <w:color w:val="auto"/>
              </w:rPr>
            </w:pPr>
            <w:r w:rsidRPr="004E5A00">
              <w:rPr>
                <w:b w:val="0"/>
                <w:bCs w:val="0"/>
                <w:color w:val="auto"/>
              </w:rPr>
              <w:t>There are, on balance, too many significant and/or relevant risks, assumptions and/or gaps present, thus broadly unconvincing.</w:t>
            </w:r>
          </w:p>
        </w:tc>
        <w:tc>
          <w:tcPr>
            <w:tcW w:w="1701" w:type="dxa"/>
          </w:tcPr>
          <w:p w14:paraId="51DCC90B" w14:textId="77777777" w:rsidR="00F63B27" w:rsidRPr="00707044" w:rsidRDefault="00F63B27" w:rsidP="002367AB">
            <w:pPr>
              <w:rPr>
                <w:rFonts w:cstheme="minorHAnsi"/>
              </w:rPr>
            </w:pPr>
            <w:r w:rsidRPr="00707044">
              <w:rPr>
                <w:rFonts w:cstheme="minorHAnsi"/>
              </w:rPr>
              <w:t>Unsatisfactory in places.</w:t>
            </w:r>
          </w:p>
          <w:p w14:paraId="1E19916D" w14:textId="77777777" w:rsidR="00F63B27" w:rsidRPr="00707044" w:rsidRDefault="00F63B27" w:rsidP="002367AB">
            <w:pPr>
              <w:rPr>
                <w:rFonts w:cstheme="minorHAnsi"/>
              </w:rPr>
            </w:pPr>
            <w:r w:rsidRPr="00707044">
              <w:rPr>
                <w:rFonts w:cstheme="minorHAnsi"/>
              </w:rPr>
              <w:t>Minor deficiencies or gaps.</w:t>
            </w:r>
          </w:p>
          <w:p w14:paraId="55ECC1B0" w14:textId="77777777" w:rsidR="00F63B27" w:rsidRPr="00707044" w:rsidRDefault="00F63B27" w:rsidP="002367AB">
            <w:pPr>
              <w:rPr>
                <w:rFonts w:cstheme="minorHAnsi"/>
              </w:rPr>
            </w:pPr>
            <w:r w:rsidRPr="00707044">
              <w:rPr>
                <w:rFonts w:cstheme="minorHAnsi"/>
              </w:rPr>
              <w:t>On balance, too variable with some significant and/or relevant risks, assumptions and/or gaps.</w:t>
            </w:r>
          </w:p>
        </w:tc>
      </w:tr>
      <w:tr w:rsidR="00F63B27" w:rsidRPr="00707044" w14:paraId="37F2A553" w14:textId="77777777" w:rsidTr="002367AB">
        <w:tc>
          <w:tcPr>
            <w:tcW w:w="709" w:type="dxa"/>
          </w:tcPr>
          <w:p w14:paraId="0AEAA5D9" w14:textId="77777777" w:rsidR="00F63B27" w:rsidRPr="00707044" w:rsidRDefault="00F63B27" w:rsidP="002367AB">
            <w:pPr>
              <w:jc w:val="center"/>
              <w:rPr>
                <w:rFonts w:cstheme="minorHAnsi"/>
              </w:rPr>
            </w:pPr>
            <w:r w:rsidRPr="00707044">
              <w:rPr>
                <w:rFonts w:cstheme="minorHAnsi"/>
              </w:rPr>
              <w:t>1</w:t>
            </w:r>
          </w:p>
        </w:tc>
        <w:tc>
          <w:tcPr>
            <w:tcW w:w="6095" w:type="dxa"/>
          </w:tcPr>
          <w:p w14:paraId="66E93166" w14:textId="66039CFF" w:rsidR="00F63B27" w:rsidRPr="004E5A00" w:rsidRDefault="00F63B27" w:rsidP="002367AB">
            <w:pPr>
              <w:pStyle w:val="ListParagraph"/>
              <w:numPr>
                <w:ilvl w:val="0"/>
                <w:numId w:val="15"/>
              </w:numPr>
              <w:tabs>
                <w:tab w:val="clear" w:pos="993"/>
              </w:tabs>
              <w:spacing w:line="240" w:lineRule="auto"/>
              <w:ind w:left="360"/>
              <w:contextualSpacing/>
              <w:outlineLvl w:val="9"/>
              <w:rPr>
                <w:b w:val="0"/>
                <w:bCs w:val="0"/>
                <w:color w:val="auto"/>
              </w:rPr>
            </w:pPr>
            <w:r w:rsidRPr="004E5A00">
              <w:rPr>
                <w:b w:val="0"/>
                <w:bCs w:val="0"/>
                <w:color w:val="auto"/>
              </w:rPr>
              <w:t>The Bidder’s response meets some yet not all the competencies, services and deliverables requested in Requirement and Required Response from the Award Questionnaire table.</w:t>
            </w:r>
          </w:p>
          <w:p w14:paraId="1B18FF68" w14:textId="77777777" w:rsidR="00F63B27" w:rsidRPr="004E5A00" w:rsidRDefault="00F63B27" w:rsidP="002367AB">
            <w:pPr>
              <w:pStyle w:val="ListParagraph"/>
              <w:numPr>
                <w:ilvl w:val="0"/>
                <w:numId w:val="15"/>
              </w:numPr>
              <w:tabs>
                <w:tab w:val="clear" w:pos="993"/>
              </w:tabs>
              <w:spacing w:line="240" w:lineRule="auto"/>
              <w:ind w:left="360"/>
              <w:contextualSpacing/>
              <w:outlineLvl w:val="9"/>
              <w:rPr>
                <w:b w:val="0"/>
                <w:bCs w:val="0"/>
                <w:color w:val="auto"/>
              </w:rPr>
            </w:pPr>
            <w:r w:rsidRPr="004E5A00">
              <w:rPr>
                <w:b w:val="0"/>
                <w:bCs w:val="0"/>
                <w:color w:val="auto"/>
              </w:rPr>
              <w:t>The Bidder’s response demonstrates a sometimes compliant and sometimes not completely thorough understanding of the requirements and provides a variable and at times uncompliant explanation of how the requirements will be met.</w:t>
            </w:r>
          </w:p>
          <w:p w14:paraId="290AFB18" w14:textId="77777777" w:rsidR="00F63B27" w:rsidRPr="004E5A00" w:rsidRDefault="00F63B27" w:rsidP="002367AB">
            <w:pPr>
              <w:pStyle w:val="ListParagraph"/>
              <w:numPr>
                <w:ilvl w:val="0"/>
                <w:numId w:val="15"/>
              </w:numPr>
              <w:tabs>
                <w:tab w:val="clear" w:pos="993"/>
              </w:tabs>
              <w:spacing w:line="240" w:lineRule="auto"/>
              <w:ind w:left="360"/>
              <w:contextualSpacing/>
              <w:outlineLvl w:val="9"/>
              <w:rPr>
                <w:b w:val="0"/>
                <w:bCs w:val="0"/>
                <w:color w:val="auto"/>
              </w:rPr>
            </w:pPr>
            <w:r w:rsidRPr="004E5A00">
              <w:rPr>
                <w:b w:val="0"/>
                <w:bCs w:val="0"/>
                <w:color w:val="auto"/>
              </w:rPr>
              <w:t>The Bidder’s response has major deficiencies or gaps and on balance does not provide significant, relevant added value with that is Economically Advantageous.</w:t>
            </w:r>
          </w:p>
          <w:p w14:paraId="254F980B" w14:textId="77777777" w:rsidR="00F63B27" w:rsidRPr="004E5A00" w:rsidRDefault="00F63B27" w:rsidP="002367AB">
            <w:pPr>
              <w:pStyle w:val="ListParagraph"/>
              <w:numPr>
                <w:ilvl w:val="0"/>
                <w:numId w:val="15"/>
              </w:numPr>
              <w:tabs>
                <w:tab w:val="clear" w:pos="993"/>
              </w:tabs>
              <w:spacing w:line="240" w:lineRule="auto"/>
              <w:ind w:left="360"/>
              <w:contextualSpacing/>
              <w:outlineLvl w:val="9"/>
              <w:rPr>
                <w:b w:val="0"/>
                <w:bCs w:val="0"/>
                <w:color w:val="auto"/>
              </w:rPr>
            </w:pPr>
            <w:r w:rsidRPr="004E5A00">
              <w:rPr>
                <w:b w:val="0"/>
                <w:bCs w:val="0"/>
                <w:color w:val="auto"/>
              </w:rPr>
              <w:t>There are, on balance, too many significant and/or relevant risks, assumptions and/or gaps present, thus very unconvincing.</w:t>
            </w:r>
          </w:p>
        </w:tc>
        <w:tc>
          <w:tcPr>
            <w:tcW w:w="1701" w:type="dxa"/>
          </w:tcPr>
          <w:p w14:paraId="7988AD0B" w14:textId="77777777" w:rsidR="00F63B27" w:rsidRPr="00707044" w:rsidRDefault="00F63B27" w:rsidP="002367AB">
            <w:pPr>
              <w:rPr>
                <w:rFonts w:cstheme="minorHAnsi"/>
              </w:rPr>
            </w:pPr>
            <w:r w:rsidRPr="00707044">
              <w:rPr>
                <w:rFonts w:cstheme="minorHAnsi"/>
              </w:rPr>
              <w:t>Sometimes non-compliant. Highly variable.</w:t>
            </w:r>
          </w:p>
          <w:p w14:paraId="0B63710A" w14:textId="77777777" w:rsidR="00F63B27" w:rsidRPr="00707044" w:rsidRDefault="00F63B27" w:rsidP="002367AB">
            <w:pPr>
              <w:rPr>
                <w:rFonts w:cstheme="minorHAnsi"/>
              </w:rPr>
            </w:pPr>
            <w:r w:rsidRPr="00707044">
              <w:rPr>
                <w:rFonts w:cstheme="minorHAnsi"/>
              </w:rPr>
              <w:t>Major deficiencies or gaps.</w:t>
            </w:r>
          </w:p>
          <w:p w14:paraId="00F451CC" w14:textId="77777777" w:rsidR="00F63B27" w:rsidRPr="00707044" w:rsidRDefault="00F63B27" w:rsidP="002367AB">
            <w:pPr>
              <w:rPr>
                <w:rFonts w:cstheme="minorHAnsi"/>
              </w:rPr>
            </w:pPr>
            <w:r w:rsidRPr="00707044">
              <w:rPr>
                <w:rFonts w:cstheme="minorHAnsi"/>
              </w:rPr>
              <w:t>On balance, too many significant and/or relevant risks, assumptions and/or gaps.</w:t>
            </w:r>
          </w:p>
        </w:tc>
      </w:tr>
      <w:tr w:rsidR="00F63B27" w:rsidRPr="00707044" w14:paraId="73F5B5FC" w14:textId="77777777" w:rsidTr="002367AB">
        <w:tc>
          <w:tcPr>
            <w:tcW w:w="709" w:type="dxa"/>
          </w:tcPr>
          <w:p w14:paraId="72BD2D0E" w14:textId="77777777" w:rsidR="00F63B27" w:rsidRPr="00707044" w:rsidRDefault="00F63B27" w:rsidP="002367AB">
            <w:pPr>
              <w:jc w:val="center"/>
              <w:rPr>
                <w:rFonts w:cstheme="minorHAnsi"/>
              </w:rPr>
            </w:pPr>
            <w:r w:rsidRPr="00707044">
              <w:rPr>
                <w:rFonts w:cstheme="minorHAnsi"/>
              </w:rPr>
              <w:t>0</w:t>
            </w:r>
          </w:p>
        </w:tc>
        <w:tc>
          <w:tcPr>
            <w:tcW w:w="6095" w:type="dxa"/>
          </w:tcPr>
          <w:p w14:paraId="5E765776" w14:textId="77777777" w:rsidR="00F63B27" w:rsidRPr="00707044" w:rsidRDefault="00F63B27" w:rsidP="002367AB">
            <w:pPr>
              <w:rPr>
                <w:rFonts w:cstheme="minorHAnsi"/>
              </w:rPr>
            </w:pPr>
            <w:r w:rsidRPr="00707044">
              <w:rPr>
                <w:rFonts w:cstheme="minorHAnsi"/>
              </w:rPr>
              <w:t>The Bidder’s response fails to meet any of the criteria either with a response which is not appropriate to the requirements, the omission of an answer, or a blank response.</w:t>
            </w:r>
          </w:p>
        </w:tc>
        <w:tc>
          <w:tcPr>
            <w:tcW w:w="1701" w:type="dxa"/>
          </w:tcPr>
          <w:p w14:paraId="7D0640ED" w14:textId="77777777" w:rsidR="00F63B27" w:rsidRPr="00707044" w:rsidRDefault="00F63B27" w:rsidP="002367AB">
            <w:pPr>
              <w:rPr>
                <w:rFonts w:cstheme="minorHAnsi"/>
              </w:rPr>
            </w:pPr>
            <w:r w:rsidRPr="00707044">
              <w:rPr>
                <w:rFonts w:cstheme="minorHAnsi"/>
              </w:rPr>
              <w:t>Not compliant.</w:t>
            </w:r>
          </w:p>
        </w:tc>
      </w:tr>
    </w:tbl>
    <w:p w14:paraId="34538859" w14:textId="77777777" w:rsidR="00F63B27" w:rsidRDefault="00F63B27" w:rsidP="00F63B27">
      <w:pPr>
        <w:ind w:left="720"/>
      </w:pPr>
    </w:p>
    <w:p w14:paraId="03A2854B" w14:textId="77777777" w:rsidR="00F63B27" w:rsidRDefault="00F63B27" w:rsidP="00AB6AE2">
      <w:pPr>
        <w:pStyle w:val="Level2"/>
      </w:pPr>
      <w:r w:rsidRPr="00AA08AA">
        <w:t xml:space="preserve">Each mark will be allocated on a pro-rata basis by using the following formula: </w:t>
      </w:r>
    </w:p>
    <w:p w14:paraId="0CE04240" w14:textId="77777777" w:rsidR="00F63B27" w:rsidRPr="00AA08AA" w:rsidRDefault="00F63B27" w:rsidP="00F63B27">
      <w:pPr>
        <w:spacing w:line="276" w:lineRule="auto"/>
        <w:ind w:left="720"/>
        <w:jc w:val="center"/>
        <w:rPr>
          <w:rFonts w:cstheme="minorHAnsi"/>
          <w:i/>
          <w:iCs/>
          <w:color w:val="4F80F7"/>
        </w:rPr>
      </w:pPr>
      <w:r w:rsidRPr="00AA08AA">
        <w:rPr>
          <w:rFonts w:cstheme="minorHAnsi"/>
          <w:i/>
          <w:iCs/>
          <w:color w:val="4F80F7"/>
        </w:rPr>
        <w:t xml:space="preserve">Initial </w:t>
      </w:r>
      <w:r>
        <w:rPr>
          <w:rFonts w:cstheme="minorHAnsi"/>
          <w:i/>
          <w:iCs/>
          <w:color w:val="4F80F7"/>
        </w:rPr>
        <w:t>s</w:t>
      </w:r>
      <w:r w:rsidRPr="00AA08AA">
        <w:rPr>
          <w:rFonts w:cstheme="minorHAnsi"/>
          <w:i/>
          <w:iCs/>
          <w:color w:val="4F80F7"/>
        </w:rPr>
        <w:t xml:space="preserve">core x </w:t>
      </w:r>
      <w:r w:rsidRPr="00AA08AA">
        <w:rPr>
          <w:rFonts w:cstheme="minorHAnsi"/>
          <w:color w:val="4F80F7"/>
        </w:rPr>
        <w:t>(</w:t>
      </w:r>
      <w:r>
        <w:rPr>
          <w:rFonts w:cstheme="minorHAnsi"/>
          <w:i/>
          <w:iCs/>
          <w:color w:val="4F80F7"/>
        </w:rPr>
        <w:t>m</w:t>
      </w:r>
      <w:r w:rsidRPr="00AA08AA">
        <w:rPr>
          <w:rFonts w:cstheme="minorHAnsi"/>
          <w:i/>
          <w:iCs/>
          <w:color w:val="4F80F7"/>
        </w:rPr>
        <w:t xml:space="preserve">aximum </w:t>
      </w:r>
      <w:r>
        <w:rPr>
          <w:rFonts w:cstheme="minorHAnsi"/>
          <w:i/>
          <w:iCs/>
          <w:color w:val="4F80F7"/>
        </w:rPr>
        <w:t>m</w:t>
      </w:r>
      <w:r w:rsidRPr="00AA08AA">
        <w:rPr>
          <w:rFonts w:cstheme="minorHAnsi"/>
          <w:i/>
          <w:iCs/>
          <w:color w:val="4F80F7"/>
        </w:rPr>
        <w:t xml:space="preserve">arks </w:t>
      </w:r>
      <w:r>
        <w:rPr>
          <w:rFonts w:cstheme="minorHAnsi"/>
          <w:i/>
          <w:iCs/>
          <w:color w:val="4F80F7"/>
        </w:rPr>
        <w:t>a</w:t>
      </w:r>
      <w:r w:rsidRPr="00AA08AA">
        <w:rPr>
          <w:rFonts w:cstheme="minorHAnsi"/>
          <w:i/>
          <w:iCs/>
          <w:color w:val="4F80F7"/>
        </w:rPr>
        <w:t xml:space="preserve">vailable </w:t>
      </w:r>
      <w:r w:rsidRPr="00AA08AA">
        <w:rPr>
          <w:rFonts w:ascii="Symbol" w:eastAsia="Symbol" w:hAnsi="Symbol" w:cstheme="minorHAnsi"/>
          <w:i/>
          <w:iCs/>
          <w:color w:val="4F80F7"/>
        </w:rPr>
        <w:t>¸</w:t>
      </w:r>
      <w:r w:rsidRPr="00AA08AA">
        <w:rPr>
          <w:rFonts w:cstheme="minorHAnsi"/>
          <w:i/>
          <w:iCs/>
          <w:color w:val="4F80F7"/>
        </w:rPr>
        <w:t xml:space="preserve"> 5)</w:t>
      </w:r>
    </w:p>
    <w:p w14:paraId="125A46FA" w14:textId="77777777" w:rsidR="00F63B27" w:rsidRPr="00AA08AA" w:rsidRDefault="00F63B27" w:rsidP="00F63B27">
      <w:pPr>
        <w:spacing w:line="276" w:lineRule="auto"/>
        <w:ind w:left="720" w:firstLine="720"/>
        <w:jc w:val="center"/>
        <w:rPr>
          <w:i/>
          <w:iCs/>
          <w:color w:val="4F80F7"/>
        </w:rPr>
      </w:pPr>
      <w:r w:rsidRPr="00AA08AA">
        <w:rPr>
          <w:b/>
          <w:bCs/>
          <w:i/>
          <w:iCs/>
          <w:color w:val="4F80F7"/>
        </w:rPr>
        <w:t>For example</w:t>
      </w:r>
      <w:r w:rsidRPr="00AA08AA">
        <w:rPr>
          <w:i/>
          <w:iCs/>
          <w:color w:val="4F80F7"/>
        </w:rPr>
        <w:t>: If after evaluation an initial score of 3 is determined for AQ1 the following mark is awarded</w:t>
      </w:r>
    </w:p>
    <w:p w14:paraId="2C61A15D" w14:textId="77777777" w:rsidR="00F63B27" w:rsidRPr="00AA08AA" w:rsidRDefault="00F63B27" w:rsidP="00F63B27">
      <w:pPr>
        <w:spacing w:line="276" w:lineRule="auto"/>
        <w:ind w:left="720"/>
        <w:jc w:val="center"/>
        <w:rPr>
          <w:rFonts w:cstheme="minorHAnsi"/>
          <w:b/>
          <w:bCs/>
          <w:color w:val="4F80F7"/>
        </w:rPr>
      </w:pPr>
      <w:r w:rsidRPr="00AA08AA">
        <w:rPr>
          <w:rFonts w:cstheme="minorHAnsi"/>
          <w:i/>
          <w:iCs/>
          <w:color w:val="4F80F7"/>
        </w:rPr>
        <w:t>3 x (</w:t>
      </w:r>
      <w:r>
        <w:rPr>
          <w:rFonts w:cstheme="minorHAnsi"/>
          <w:i/>
          <w:iCs/>
          <w:color w:val="4F80F7"/>
        </w:rPr>
        <w:t>25</w:t>
      </w:r>
      <w:r w:rsidRPr="00AA08AA">
        <w:rPr>
          <w:rFonts w:cstheme="minorHAnsi"/>
          <w:i/>
          <w:iCs/>
          <w:color w:val="4F80F7"/>
        </w:rPr>
        <w:t xml:space="preserve"> </w:t>
      </w:r>
      <w:r w:rsidRPr="00AA08AA">
        <w:rPr>
          <w:rFonts w:ascii="Symbol" w:eastAsia="Symbol" w:hAnsi="Symbol" w:cstheme="minorHAnsi"/>
          <w:i/>
          <w:iCs/>
          <w:color w:val="4F80F7"/>
        </w:rPr>
        <w:t>¸</w:t>
      </w:r>
      <w:r w:rsidRPr="00AA08AA">
        <w:rPr>
          <w:rFonts w:cstheme="minorHAnsi"/>
          <w:i/>
          <w:iCs/>
          <w:color w:val="4F80F7"/>
        </w:rPr>
        <w:t xml:space="preserve">  5) = </w:t>
      </w:r>
      <w:r w:rsidRPr="00AA08AA">
        <w:rPr>
          <w:rFonts w:cstheme="minorHAnsi"/>
          <w:b/>
          <w:bCs/>
          <w:i/>
          <w:iCs/>
          <w:color w:val="4F80F7"/>
        </w:rPr>
        <w:t>1</w:t>
      </w:r>
      <w:r>
        <w:rPr>
          <w:rFonts w:cstheme="minorHAnsi"/>
          <w:b/>
          <w:bCs/>
          <w:i/>
          <w:iCs/>
          <w:color w:val="4F80F7"/>
        </w:rPr>
        <w:t>5</w:t>
      </w:r>
    </w:p>
    <w:p w14:paraId="38783DA2" w14:textId="77777777" w:rsidR="00F63B27" w:rsidRDefault="00F63B27" w:rsidP="00F63B27">
      <w:pPr>
        <w:spacing w:line="276" w:lineRule="auto"/>
        <w:ind w:left="720"/>
        <w:jc w:val="both"/>
        <w:rPr>
          <w:rFonts w:cstheme="minorHAnsi"/>
        </w:rPr>
      </w:pPr>
    </w:p>
    <w:p w14:paraId="4FF2565D" w14:textId="77777777" w:rsidR="00AB6AE2" w:rsidRDefault="00F63B27" w:rsidP="00AB6AE2">
      <w:pPr>
        <w:pStyle w:val="Level2"/>
      </w:pPr>
      <w:r>
        <w:t xml:space="preserve">A final </w:t>
      </w:r>
      <w:r>
        <w:rPr>
          <w:b/>
          <w:bCs/>
        </w:rPr>
        <w:t>q</w:t>
      </w:r>
      <w:r w:rsidRPr="00AA08AA">
        <w:rPr>
          <w:b/>
          <w:bCs/>
        </w:rPr>
        <w:t xml:space="preserve">uality </w:t>
      </w:r>
      <w:r>
        <w:rPr>
          <w:b/>
          <w:bCs/>
        </w:rPr>
        <w:t>s</w:t>
      </w:r>
      <w:r w:rsidRPr="00AA08AA">
        <w:rPr>
          <w:b/>
          <w:bCs/>
        </w:rPr>
        <w:t>core</w:t>
      </w:r>
      <w:r>
        <w:t xml:space="preserve"> for each lot is determined by adding up all the marks awarded for each AQ and applying the following formula:</w:t>
      </w:r>
    </w:p>
    <w:p w14:paraId="11CE0479" w14:textId="0523F81E" w:rsidR="00F63B27" w:rsidRPr="00AB6AE2" w:rsidRDefault="00F63B27" w:rsidP="00AB6AE2">
      <w:pPr>
        <w:pStyle w:val="Level2"/>
        <w:numPr>
          <w:ilvl w:val="0"/>
          <w:numId w:val="0"/>
        </w:numPr>
        <w:ind w:left="1077" w:firstLine="363"/>
        <w:jc w:val="left"/>
      </w:pPr>
      <w:r w:rsidRPr="00AB6AE2">
        <w:rPr>
          <w:rFonts w:cstheme="minorHAnsi"/>
          <w:i/>
          <w:iCs/>
          <w:color w:val="4F80F7"/>
        </w:rPr>
        <w:t>Total marks awarded x quality score weighting % = quality score</w:t>
      </w:r>
    </w:p>
    <w:p w14:paraId="278E42EA" w14:textId="53443075" w:rsidR="00F63B27" w:rsidRDefault="00F63B27" w:rsidP="00AB6AE2">
      <w:pPr>
        <w:pStyle w:val="Level2"/>
      </w:pPr>
      <w:bookmarkStart w:id="194" w:name="_Toc117090072"/>
      <w:r w:rsidRPr="003605A6">
        <w:t>Evaluation examples</w:t>
      </w:r>
      <w:bookmarkEnd w:id="194"/>
    </w:p>
    <w:tbl>
      <w:tblPr>
        <w:tblW w:w="8141" w:type="dxa"/>
        <w:tblInd w:w="1063" w:type="dxa"/>
        <w:tblLook w:val="04A0" w:firstRow="1" w:lastRow="0" w:firstColumn="1" w:lastColumn="0" w:noHBand="0" w:noVBand="1"/>
      </w:tblPr>
      <w:tblGrid>
        <w:gridCol w:w="1433"/>
        <w:gridCol w:w="958"/>
        <w:gridCol w:w="958"/>
        <w:gridCol w:w="958"/>
        <w:gridCol w:w="959"/>
        <w:gridCol w:w="958"/>
        <w:gridCol w:w="958"/>
        <w:gridCol w:w="959"/>
      </w:tblGrid>
      <w:tr w:rsidR="00023189" w:rsidRPr="00023189" w14:paraId="6418B88A" w14:textId="77777777" w:rsidTr="00023189">
        <w:trPr>
          <w:trHeight w:val="740"/>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462E9" w14:textId="77777777" w:rsidR="00023189" w:rsidRPr="00023189" w:rsidRDefault="00023189" w:rsidP="00023189">
            <w:pPr>
              <w:rPr>
                <w:rFonts w:ascii="Calibri" w:hAnsi="Calibri" w:cs="Calibri"/>
                <w:b/>
                <w:bCs/>
                <w:color w:val="000000"/>
                <w:sz w:val="16"/>
                <w:szCs w:val="16"/>
              </w:rPr>
            </w:pPr>
            <w:r w:rsidRPr="00023189">
              <w:rPr>
                <w:rFonts w:ascii="Calibri" w:hAnsi="Calibri" w:cs="Calibri"/>
                <w:b/>
                <w:bCs/>
                <w:color w:val="000000"/>
                <w:sz w:val="16"/>
                <w:szCs w:val="16"/>
              </w:rPr>
              <w:t>Question</w:t>
            </w:r>
          </w:p>
        </w:tc>
        <w:tc>
          <w:tcPr>
            <w:tcW w:w="958" w:type="dxa"/>
            <w:tcBorders>
              <w:top w:val="single" w:sz="8" w:space="0" w:color="auto"/>
              <w:left w:val="nil"/>
              <w:bottom w:val="single" w:sz="8" w:space="0" w:color="auto"/>
              <w:right w:val="single" w:sz="8" w:space="0" w:color="auto"/>
            </w:tcBorders>
            <w:shd w:val="clear" w:color="auto" w:fill="auto"/>
            <w:vAlign w:val="center"/>
            <w:hideMark/>
          </w:tcPr>
          <w:p w14:paraId="6EE33C04"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Maximum marks Available</w:t>
            </w:r>
          </w:p>
        </w:tc>
        <w:tc>
          <w:tcPr>
            <w:tcW w:w="958" w:type="dxa"/>
            <w:tcBorders>
              <w:top w:val="single" w:sz="8" w:space="0" w:color="auto"/>
              <w:left w:val="nil"/>
              <w:bottom w:val="single" w:sz="8" w:space="0" w:color="auto"/>
              <w:right w:val="single" w:sz="8" w:space="0" w:color="auto"/>
            </w:tcBorders>
            <w:shd w:val="clear" w:color="auto" w:fill="auto"/>
            <w:vAlign w:val="center"/>
            <w:hideMark/>
          </w:tcPr>
          <w:p w14:paraId="1E824836"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 xml:space="preserve">Bidder A – evaluation (initial) score </w:t>
            </w:r>
          </w:p>
        </w:tc>
        <w:tc>
          <w:tcPr>
            <w:tcW w:w="958" w:type="dxa"/>
            <w:tcBorders>
              <w:top w:val="single" w:sz="8" w:space="0" w:color="auto"/>
              <w:left w:val="nil"/>
              <w:bottom w:val="single" w:sz="8" w:space="0" w:color="auto"/>
              <w:right w:val="single" w:sz="8" w:space="0" w:color="auto"/>
            </w:tcBorders>
            <w:shd w:val="clear" w:color="auto" w:fill="auto"/>
            <w:vAlign w:val="center"/>
            <w:hideMark/>
          </w:tcPr>
          <w:p w14:paraId="07190E12"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Bidder A - marks awarded</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673D82D5"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 xml:space="preserve">Bidder B – evaluation (initial) score </w:t>
            </w:r>
          </w:p>
        </w:tc>
        <w:tc>
          <w:tcPr>
            <w:tcW w:w="958" w:type="dxa"/>
            <w:tcBorders>
              <w:top w:val="single" w:sz="8" w:space="0" w:color="auto"/>
              <w:left w:val="nil"/>
              <w:bottom w:val="single" w:sz="8" w:space="0" w:color="auto"/>
              <w:right w:val="single" w:sz="8" w:space="0" w:color="auto"/>
            </w:tcBorders>
            <w:shd w:val="clear" w:color="auto" w:fill="auto"/>
            <w:vAlign w:val="center"/>
            <w:hideMark/>
          </w:tcPr>
          <w:p w14:paraId="3DD10B5B"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Bidder B  - marks awarded</w:t>
            </w:r>
          </w:p>
        </w:tc>
        <w:tc>
          <w:tcPr>
            <w:tcW w:w="958" w:type="dxa"/>
            <w:tcBorders>
              <w:top w:val="single" w:sz="8" w:space="0" w:color="auto"/>
              <w:left w:val="nil"/>
              <w:bottom w:val="single" w:sz="8" w:space="0" w:color="auto"/>
              <w:right w:val="single" w:sz="8" w:space="0" w:color="auto"/>
            </w:tcBorders>
            <w:shd w:val="clear" w:color="auto" w:fill="auto"/>
            <w:vAlign w:val="center"/>
            <w:hideMark/>
          </w:tcPr>
          <w:p w14:paraId="17AD8411"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 xml:space="preserve">Bidder C – evaluation (initial) score </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76B04A21"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Bidder C - marks awarded</w:t>
            </w:r>
          </w:p>
        </w:tc>
      </w:tr>
      <w:tr w:rsidR="00023189" w:rsidRPr="00023189" w14:paraId="78FE18C5"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236C7D59"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AQ1: Helpdesk Services</w:t>
            </w:r>
          </w:p>
        </w:tc>
        <w:tc>
          <w:tcPr>
            <w:tcW w:w="958" w:type="dxa"/>
            <w:tcBorders>
              <w:top w:val="nil"/>
              <w:left w:val="nil"/>
              <w:bottom w:val="single" w:sz="8" w:space="0" w:color="auto"/>
              <w:right w:val="single" w:sz="8" w:space="0" w:color="auto"/>
            </w:tcBorders>
            <w:shd w:val="clear" w:color="auto" w:fill="auto"/>
            <w:vAlign w:val="center"/>
            <w:hideMark/>
          </w:tcPr>
          <w:p w14:paraId="14117270"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c>
          <w:tcPr>
            <w:tcW w:w="958" w:type="dxa"/>
            <w:tcBorders>
              <w:top w:val="nil"/>
              <w:left w:val="nil"/>
              <w:bottom w:val="single" w:sz="8" w:space="0" w:color="auto"/>
              <w:right w:val="single" w:sz="8" w:space="0" w:color="auto"/>
            </w:tcBorders>
            <w:shd w:val="clear" w:color="auto" w:fill="auto"/>
            <w:vAlign w:val="center"/>
            <w:hideMark/>
          </w:tcPr>
          <w:p w14:paraId="7C5FE184"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055B72F4"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6</w:t>
            </w:r>
          </w:p>
        </w:tc>
        <w:tc>
          <w:tcPr>
            <w:tcW w:w="959" w:type="dxa"/>
            <w:tcBorders>
              <w:top w:val="nil"/>
              <w:left w:val="nil"/>
              <w:bottom w:val="single" w:sz="8" w:space="0" w:color="auto"/>
              <w:right w:val="single" w:sz="8" w:space="0" w:color="auto"/>
            </w:tcBorders>
            <w:shd w:val="clear" w:color="auto" w:fill="auto"/>
            <w:vAlign w:val="center"/>
            <w:hideMark/>
          </w:tcPr>
          <w:p w14:paraId="2055A0A2"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10001DDA"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8</w:t>
            </w:r>
          </w:p>
        </w:tc>
        <w:tc>
          <w:tcPr>
            <w:tcW w:w="958" w:type="dxa"/>
            <w:tcBorders>
              <w:top w:val="nil"/>
              <w:left w:val="nil"/>
              <w:bottom w:val="single" w:sz="8" w:space="0" w:color="auto"/>
              <w:right w:val="single" w:sz="8" w:space="0" w:color="auto"/>
            </w:tcBorders>
            <w:shd w:val="clear" w:color="auto" w:fill="auto"/>
            <w:vAlign w:val="center"/>
            <w:hideMark/>
          </w:tcPr>
          <w:p w14:paraId="6F85F41B"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5</w:t>
            </w:r>
          </w:p>
        </w:tc>
        <w:tc>
          <w:tcPr>
            <w:tcW w:w="959" w:type="dxa"/>
            <w:tcBorders>
              <w:top w:val="nil"/>
              <w:left w:val="nil"/>
              <w:bottom w:val="single" w:sz="8" w:space="0" w:color="auto"/>
              <w:right w:val="single" w:sz="8" w:space="0" w:color="auto"/>
            </w:tcBorders>
            <w:shd w:val="clear" w:color="auto" w:fill="auto"/>
            <w:vAlign w:val="center"/>
            <w:hideMark/>
          </w:tcPr>
          <w:p w14:paraId="00F2ADB1"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r>
      <w:tr w:rsidR="00023189" w:rsidRPr="00023189" w14:paraId="2C3E941C"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4709239F"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AQ2: Remote Support &amp; Monitoring</w:t>
            </w:r>
          </w:p>
        </w:tc>
        <w:tc>
          <w:tcPr>
            <w:tcW w:w="958" w:type="dxa"/>
            <w:tcBorders>
              <w:top w:val="nil"/>
              <w:left w:val="nil"/>
              <w:bottom w:val="single" w:sz="8" w:space="0" w:color="auto"/>
              <w:right w:val="single" w:sz="8" w:space="0" w:color="auto"/>
            </w:tcBorders>
            <w:shd w:val="clear" w:color="auto" w:fill="auto"/>
            <w:vAlign w:val="center"/>
            <w:hideMark/>
          </w:tcPr>
          <w:p w14:paraId="44A858E9"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15</w:t>
            </w:r>
          </w:p>
        </w:tc>
        <w:tc>
          <w:tcPr>
            <w:tcW w:w="958" w:type="dxa"/>
            <w:tcBorders>
              <w:top w:val="nil"/>
              <w:left w:val="nil"/>
              <w:bottom w:val="single" w:sz="8" w:space="0" w:color="auto"/>
              <w:right w:val="single" w:sz="8" w:space="0" w:color="auto"/>
            </w:tcBorders>
            <w:shd w:val="clear" w:color="auto" w:fill="auto"/>
            <w:vAlign w:val="center"/>
            <w:hideMark/>
          </w:tcPr>
          <w:p w14:paraId="0967CDCC"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6E4EB4D8"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9</w:t>
            </w:r>
          </w:p>
        </w:tc>
        <w:tc>
          <w:tcPr>
            <w:tcW w:w="959" w:type="dxa"/>
            <w:tcBorders>
              <w:top w:val="nil"/>
              <w:left w:val="nil"/>
              <w:bottom w:val="single" w:sz="8" w:space="0" w:color="auto"/>
              <w:right w:val="single" w:sz="8" w:space="0" w:color="auto"/>
            </w:tcBorders>
            <w:shd w:val="clear" w:color="auto" w:fill="auto"/>
            <w:vAlign w:val="center"/>
            <w:hideMark/>
          </w:tcPr>
          <w:p w14:paraId="5C7CA2FA"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348528DD"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12</w:t>
            </w:r>
          </w:p>
        </w:tc>
        <w:tc>
          <w:tcPr>
            <w:tcW w:w="958" w:type="dxa"/>
            <w:tcBorders>
              <w:top w:val="nil"/>
              <w:left w:val="nil"/>
              <w:bottom w:val="single" w:sz="8" w:space="0" w:color="auto"/>
              <w:right w:val="single" w:sz="8" w:space="0" w:color="auto"/>
            </w:tcBorders>
            <w:shd w:val="clear" w:color="auto" w:fill="auto"/>
            <w:vAlign w:val="center"/>
            <w:hideMark/>
          </w:tcPr>
          <w:p w14:paraId="737D6A2B"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5</w:t>
            </w:r>
          </w:p>
        </w:tc>
        <w:tc>
          <w:tcPr>
            <w:tcW w:w="959" w:type="dxa"/>
            <w:tcBorders>
              <w:top w:val="nil"/>
              <w:left w:val="nil"/>
              <w:bottom w:val="single" w:sz="8" w:space="0" w:color="auto"/>
              <w:right w:val="single" w:sz="8" w:space="0" w:color="auto"/>
            </w:tcBorders>
            <w:shd w:val="clear" w:color="auto" w:fill="auto"/>
            <w:vAlign w:val="center"/>
            <w:hideMark/>
          </w:tcPr>
          <w:p w14:paraId="2D5EE331"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15</w:t>
            </w:r>
          </w:p>
        </w:tc>
      </w:tr>
      <w:tr w:rsidR="00023189" w:rsidRPr="00023189" w14:paraId="54BAD284"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77C4D0AF"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AQ3: Onsite Support Services</w:t>
            </w:r>
          </w:p>
        </w:tc>
        <w:tc>
          <w:tcPr>
            <w:tcW w:w="958" w:type="dxa"/>
            <w:tcBorders>
              <w:top w:val="nil"/>
              <w:left w:val="nil"/>
              <w:bottom w:val="single" w:sz="8" w:space="0" w:color="auto"/>
              <w:right w:val="single" w:sz="8" w:space="0" w:color="auto"/>
            </w:tcBorders>
            <w:shd w:val="clear" w:color="auto" w:fill="auto"/>
            <w:vAlign w:val="center"/>
            <w:hideMark/>
          </w:tcPr>
          <w:p w14:paraId="5486B399"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20</w:t>
            </w:r>
          </w:p>
        </w:tc>
        <w:tc>
          <w:tcPr>
            <w:tcW w:w="958" w:type="dxa"/>
            <w:tcBorders>
              <w:top w:val="nil"/>
              <w:left w:val="nil"/>
              <w:bottom w:val="single" w:sz="8" w:space="0" w:color="auto"/>
              <w:right w:val="single" w:sz="8" w:space="0" w:color="auto"/>
            </w:tcBorders>
            <w:shd w:val="clear" w:color="auto" w:fill="auto"/>
            <w:vAlign w:val="center"/>
            <w:hideMark/>
          </w:tcPr>
          <w:p w14:paraId="4EA4CF52"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23B2555B"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12</w:t>
            </w:r>
          </w:p>
        </w:tc>
        <w:tc>
          <w:tcPr>
            <w:tcW w:w="959" w:type="dxa"/>
            <w:tcBorders>
              <w:top w:val="nil"/>
              <w:left w:val="nil"/>
              <w:bottom w:val="single" w:sz="8" w:space="0" w:color="auto"/>
              <w:right w:val="single" w:sz="8" w:space="0" w:color="auto"/>
            </w:tcBorders>
            <w:shd w:val="clear" w:color="auto" w:fill="auto"/>
            <w:vAlign w:val="center"/>
            <w:hideMark/>
          </w:tcPr>
          <w:p w14:paraId="0B81525D"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7B416624"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16</w:t>
            </w:r>
          </w:p>
        </w:tc>
        <w:tc>
          <w:tcPr>
            <w:tcW w:w="958" w:type="dxa"/>
            <w:tcBorders>
              <w:top w:val="nil"/>
              <w:left w:val="nil"/>
              <w:bottom w:val="single" w:sz="8" w:space="0" w:color="auto"/>
              <w:right w:val="single" w:sz="8" w:space="0" w:color="auto"/>
            </w:tcBorders>
            <w:shd w:val="clear" w:color="auto" w:fill="auto"/>
            <w:vAlign w:val="center"/>
            <w:hideMark/>
          </w:tcPr>
          <w:p w14:paraId="16F8614D"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5</w:t>
            </w:r>
          </w:p>
        </w:tc>
        <w:tc>
          <w:tcPr>
            <w:tcW w:w="959" w:type="dxa"/>
            <w:tcBorders>
              <w:top w:val="nil"/>
              <w:left w:val="nil"/>
              <w:bottom w:val="single" w:sz="8" w:space="0" w:color="auto"/>
              <w:right w:val="single" w:sz="8" w:space="0" w:color="auto"/>
            </w:tcBorders>
            <w:shd w:val="clear" w:color="auto" w:fill="auto"/>
            <w:vAlign w:val="center"/>
            <w:hideMark/>
          </w:tcPr>
          <w:p w14:paraId="51B981F1"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20</w:t>
            </w:r>
          </w:p>
        </w:tc>
      </w:tr>
      <w:tr w:rsidR="00023189" w:rsidRPr="00023189" w14:paraId="794754ED"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1E2AF53C"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AQ4: Ancillary Services</w:t>
            </w:r>
          </w:p>
        </w:tc>
        <w:tc>
          <w:tcPr>
            <w:tcW w:w="958" w:type="dxa"/>
            <w:tcBorders>
              <w:top w:val="nil"/>
              <w:left w:val="nil"/>
              <w:bottom w:val="single" w:sz="8" w:space="0" w:color="auto"/>
              <w:right w:val="single" w:sz="8" w:space="0" w:color="auto"/>
            </w:tcBorders>
            <w:shd w:val="clear" w:color="auto" w:fill="auto"/>
            <w:vAlign w:val="center"/>
            <w:hideMark/>
          </w:tcPr>
          <w:p w14:paraId="710ECC1F"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c>
          <w:tcPr>
            <w:tcW w:w="958" w:type="dxa"/>
            <w:tcBorders>
              <w:top w:val="nil"/>
              <w:left w:val="nil"/>
              <w:bottom w:val="single" w:sz="8" w:space="0" w:color="auto"/>
              <w:right w:val="single" w:sz="8" w:space="0" w:color="auto"/>
            </w:tcBorders>
            <w:shd w:val="clear" w:color="auto" w:fill="auto"/>
            <w:vAlign w:val="center"/>
            <w:hideMark/>
          </w:tcPr>
          <w:p w14:paraId="5FB9AC7C"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711AE830"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6</w:t>
            </w:r>
          </w:p>
        </w:tc>
        <w:tc>
          <w:tcPr>
            <w:tcW w:w="959" w:type="dxa"/>
            <w:tcBorders>
              <w:top w:val="nil"/>
              <w:left w:val="nil"/>
              <w:bottom w:val="single" w:sz="8" w:space="0" w:color="auto"/>
              <w:right w:val="single" w:sz="8" w:space="0" w:color="auto"/>
            </w:tcBorders>
            <w:shd w:val="clear" w:color="auto" w:fill="auto"/>
            <w:vAlign w:val="center"/>
            <w:hideMark/>
          </w:tcPr>
          <w:p w14:paraId="304A5CCB"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2FD6AC31"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8</w:t>
            </w:r>
          </w:p>
        </w:tc>
        <w:tc>
          <w:tcPr>
            <w:tcW w:w="958" w:type="dxa"/>
            <w:tcBorders>
              <w:top w:val="nil"/>
              <w:left w:val="nil"/>
              <w:bottom w:val="single" w:sz="8" w:space="0" w:color="auto"/>
              <w:right w:val="single" w:sz="8" w:space="0" w:color="auto"/>
            </w:tcBorders>
            <w:shd w:val="clear" w:color="auto" w:fill="auto"/>
            <w:vAlign w:val="center"/>
            <w:hideMark/>
          </w:tcPr>
          <w:p w14:paraId="5998A279"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5</w:t>
            </w:r>
          </w:p>
        </w:tc>
        <w:tc>
          <w:tcPr>
            <w:tcW w:w="959" w:type="dxa"/>
            <w:tcBorders>
              <w:top w:val="nil"/>
              <w:left w:val="nil"/>
              <w:bottom w:val="single" w:sz="8" w:space="0" w:color="auto"/>
              <w:right w:val="single" w:sz="8" w:space="0" w:color="auto"/>
            </w:tcBorders>
            <w:shd w:val="clear" w:color="auto" w:fill="auto"/>
            <w:vAlign w:val="center"/>
            <w:hideMark/>
          </w:tcPr>
          <w:p w14:paraId="4F9DF185"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r>
      <w:tr w:rsidR="00023189" w:rsidRPr="00023189" w14:paraId="1557C813"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40921197"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AQ5: Strategic Services</w:t>
            </w:r>
          </w:p>
        </w:tc>
        <w:tc>
          <w:tcPr>
            <w:tcW w:w="958" w:type="dxa"/>
            <w:tcBorders>
              <w:top w:val="nil"/>
              <w:left w:val="nil"/>
              <w:bottom w:val="single" w:sz="8" w:space="0" w:color="auto"/>
              <w:right w:val="single" w:sz="8" w:space="0" w:color="auto"/>
            </w:tcBorders>
            <w:shd w:val="clear" w:color="auto" w:fill="auto"/>
            <w:vAlign w:val="center"/>
            <w:hideMark/>
          </w:tcPr>
          <w:p w14:paraId="3EB9B3AF"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c>
          <w:tcPr>
            <w:tcW w:w="958" w:type="dxa"/>
            <w:tcBorders>
              <w:top w:val="nil"/>
              <w:left w:val="nil"/>
              <w:bottom w:val="single" w:sz="8" w:space="0" w:color="auto"/>
              <w:right w:val="single" w:sz="8" w:space="0" w:color="auto"/>
            </w:tcBorders>
            <w:shd w:val="clear" w:color="auto" w:fill="auto"/>
            <w:vAlign w:val="center"/>
            <w:hideMark/>
          </w:tcPr>
          <w:p w14:paraId="752F14A4"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2A37D024"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6</w:t>
            </w:r>
          </w:p>
        </w:tc>
        <w:tc>
          <w:tcPr>
            <w:tcW w:w="959" w:type="dxa"/>
            <w:tcBorders>
              <w:top w:val="nil"/>
              <w:left w:val="nil"/>
              <w:bottom w:val="single" w:sz="8" w:space="0" w:color="auto"/>
              <w:right w:val="single" w:sz="8" w:space="0" w:color="auto"/>
            </w:tcBorders>
            <w:shd w:val="clear" w:color="auto" w:fill="auto"/>
            <w:vAlign w:val="center"/>
            <w:hideMark/>
          </w:tcPr>
          <w:p w14:paraId="3A38B298"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2C284FEE"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8</w:t>
            </w:r>
          </w:p>
        </w:tc>
        <w:tc>
          <w:tcPr>
            <w:tcW w:w="958" w:type="dxa"/>
            <w:tcBorders>
              <w:top w:val="nil"/>
              <w:left w:val="nil"/>
              <w:bottom w:val="single" w:sz="8" w:space="0" w:color="auto"/>
              <w:right w:val="single" w:sz="8" w:space="0" w:color="auto"/>
            </w:tcBorders>
            <w:shd w:val="clear" w:color="auto" w:fill="auto"/>
            <w:vAlign w:val="center"/>
            <w:hideMark/>
          </w:tcPr>
          <w:p w14:paraId="218F27B8"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5</w:t>
            </w:r>
          </w:p>
        </w:tc>
        <w:tc>
          <w:tcPr>
            <w:tcW w:w="959" w:type="dxa"/>
            <w:tcBorders>
              <w:top w:val="nil"/>
              <w:left w:val="nil"/>
              <w:bottom w:val="single" w:sz="8" w:space="0" w:color="auto"/>
              <w:right w:val="single" w:sz="8" w:space="0" w:color="auto"/>
            </w:tcBorders>
            <w:shd w:val="clear" w:color="auto" w:fill="auto"/>
            <w:vAlign w:val="center"/>
            <w:hideMark/>
          </w:tcPr>
          <w:p w14:paraId="0BF3718C"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r>
      <w:tr w:rsidR="00023189" w:rsidRPr="00023189" w14:paraId="3AF87DDB"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63A34DED"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AQ6: Contract Management</w:t>
            </w:r>
          </w:p>
        </w:tc>
        <w:tc>
          <w:tcPr>
            <w:tcW w:w="958" w:type="dxa"/>
            <w:tcBorders>
              <w:top w:val="nil"/>
              <w:left w:val="nil"/>
              <w:bottom w:val="single" w:sz="8" w:space="0" w:color="auto"/>
              <w:right w:val="single" w:sz="8" w:space="0" w:color="auto"/>
            </w:tcBorders>
            <w:shd w:val="clear" w:color="auto" w:fill="auto"/>
            <w:vAlign w:val="center"/>
            <w:hideMark/>
          </w:tcPr>
          <w:p w14:paraId="0AF172D0"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10</w:t>
            </w:r>
          </w:p>
        </w:tc>
        <w:tc>
          <w:tcPr>
            <w:tcW w:w="958" w:type="dxa"/>
            <w:tcBorders>
              <w:top w:val="nil"/>
              <w:left w:val="nil"/>
              <w:bottom w:val="single" w:sz="8" w:space="0" w:color="auto"/>
              <w:right w:val="single" w:sz="8" w:space="0" w:color="auto"/>
            </w:tcBorders>
            <w:shd w:val="clear" w:color="auto" w:fill="auto"/>
            <w:vAlign w:val="center"/>
            <w:hideMark/>
          </w:tcPr>
          <w:p w14:paraId="6BCE56BF"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65E2DEA3"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6</w:t>
            </w:r>
          </w:p>
        </w:tc>
        <w:tc>
          <w:tcPr>
            <w:tcW w:w="959" w:type="dxa"/>
            <w:tcBorders>
              <w:top w:val="nil"/>
              <w:left w:val="nil"/>
              <w:bottom w:val="single" w:sz="8" w:space="0" w:color="auto"/>
              <w:right w:val="single" w:sz="8" w:space="0" w:color="auto"/>
            </w:tcBorders>
            <w:shd w:val="clear" w:color="auto" w:fill="auto"/>
            <w:vAlign w:val="center"/>
            <w:hideMark/>
          </w:tcPr>
          <w:p w14:paraId="4B83F9CB"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2112ADC6"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8</w:t>
            </w:r>
          </w:p>
        </w:tc>
        <w:tc>
          <w:tcPr>
            <w:tcW w:w="958" w:type="dxa"/>
            <w:tcBorders>
              <w:top w:val="nil"/>
              <w:left w:val="nil"/>
              <w:bottom w:val="single" w:sz="8" w:space="0" w:color="auto"/>
              <w:right w:val="single" w:sz="8" w:space="0" w:color="auto"/>
            </w:tcBorders>
            <w:shd w:val="clear" w:color="auto" w:fill="auto"/>
            <w:vAlign w:val="center"/>
            <w:hideMark/>
          </w:tcPr>
          <w:p w14:paraId="64A15447"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9" w:type="dxa"/>
            <w:tcBorders>
              <w:top w:val="nil"/>
              <w:left w:val="nil"/>
              <w:bottom w:val="single" w:sz="8" w:space="0" w:color="auto"/>
              <w:right w:val="single" w:sz="8" w:space="0" w:color="auto"/>
            </w:tcBorders>
            <w:shd w:val="clear" w:color="auto" w:fill="auto"/>
            <w:vAlign w:val="center"/>
            <w:hideMark/>
          </w:tcPr>
          <w:p w14:paraId="1C2B0F59"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8</w:t>
            </w:r>
          </w:p>
        </w:tc>
      </w:tr>
      <w:tr w:rsidR="00023189" w:rsidRPr="00023189" w14:paraId="08B85C69"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6A01210F"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lastRenderedPageBreak/>
              <w:t>AQ7: Migration &amp; Exit Management</w:t>
            </w:r>
          </w:p>
        </w:tc>
        <w:tc>
          <w:tcPr>
            <w:tcW w:w="958" w:type="dxa"/>
            <w:tcBorders>
              <w:top w:val="nil"/>
              <w:left w:val="nil"/>
              <w:bottom w:val="single" w:sz="8" w:space="0" w:color="auto"/>
              <w:right w:val="single" w:sz="8" w:space="0" w:color="auto"/>
            </w:tcBorders>
            <w:shd w:val="clear" w:color="auto" w:fill="auto"/>
            <w:vAlign w:val="center"/>
            <w:hideMark/>
          </w:tcPr>
          <w:p w14:paraId="485E28DF"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20</w:t>
            </w:r>
          </w:p>
        </w:tc>
        <w:tc>
          <w:tcPr>
            <w:tcW w:w="958" w:type="dxa"/>
            <w:tcBorders>
              <w:top w:val="nil"/>
              <w:left w:val="nil"/>
              <w:bottom w:val="single" w:sz="8" w:space="0" w:color="auto"/>
              <w:right w:val="single" w:sz="8" w:space="0" w:color="auto"/>
            </w:tcBorders>
            <w:shd w:val="clear" w:color="auto" w:fill="auto"/>
            <w:vAlign w:val="center"/>
            <w:hideMark/>
          </w:tcPr>
          <w:p w14:paraId="5F52C67B"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059543DD"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12</w:t>
            </w:r>
          </w:p>
        </w:tc>
        <w:tc>
          <w:tcPr>
            <w:tcW w:w="959" w:type="dxa"/>
            <w:tcBorders>
              <w:top w:val="nil"/>
              <w:left w:val="nil"/>
              <w:bottom w:val="single" w:sz="8" w:space="0" w:color="auto"/>
              <w:right w:val="single" w:sz="8" w:space="0" w:color="auto"/>
            </w:tcBorders>
            <w:shd w:val="clear" w:color="auto" w:fill="auto"/>
            <w:vAlign w:val="center"/>
            <w:hideMark/>
          </w:tcPr>
          <w:p w14:paraId="4A592D55"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5A2CEA9F"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16</w:t>
            </w:r>
          </w:p>
        </w:tc>
        <w:tc>
          <w:tcPr>
            <w:tcW w:w="958" w:type="dxa"/>
            <w:tcBorders>
              <w:top w:val="nil"/>
              <w:left w:val="nil"/>
              <w:bottom w:val="single" w:sz="8" w:space="0" w:color="auto"/>
              <w:right w:val="single" w:sz="8" w:space="0" w:color="auto"/>
            </w:tcBorders>
            <w:shd w:val="clear" w:color="auto" w:fill="auto"/>
            <w:vAlign w:val="center"/>
            <w:hideMark/>
          </w:tcPr>
          <w:p w14:paraId="0831C050"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9" w:type="dxa"/>
            <w:tcBorders>
              <w:top w:val="nil"/>
              <w:left w:val="nil"/>
              <w:bottom w:val="single" w:sz="8" w:space="0" w:color="auto"/>
              <w:right w:val="single" w:sz="8" w:space="0" w:color="auto"/>
            </w:tcBorders>
            <w:shd w:val="clear" w:color="auto" w:fill="auto"/>
            <w:vAlign w:val="center"/>
            <w:hideMark/>
          </w:tcPr>
          <w:p w14:paraId="77AB7BC6"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16</w:t>
            </w:r>
          </w:p>
        </w:tc>
      </w:tr>
      <w:tr w:rsidR="00023189" w:rsidRPr="00023189" w14:paraId="3D0A6675" w14:textId="77777777" w:rsidTr="00023189">
        <w:trPr>
          <w:trHeight w:val="61"/>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23BDD6D4" w14:textId="77777777" w:rsidR="00023189" w:rsidRPr="00023189" w:rsidRDefault="00023189" w:rsidP="00023189">
            <w:pPr>
              <w:rPr>
                <w:rFonts w:ascii="Calibri" w:hAnsi="Calibri" w:cs="Calibri"/>
                <w:color w:val="000000"/>
                <w:sz w:val="16"/>
                <w:szCs w:val="16"/>
              </w:rPr>
            </w:pPr>
            <w:r w:rsidRPr="00023189">
              <w:rPr>
                <w:rFonts w:ascii="Calibri" w:hAnsi="Calibri" w:cs="Calibri"/>
                <w:color w:val="000000"/>
                <w:sz w:val="16"/>
                <w:szCs w:val="16"/>
              </w:rPr>
              <w:t>AQ8: Social Value</w:t>
            </w:r>
          </w:p>
        </w:tc>
        <w:tc>
          <w:tcPr>
            <w:tcW w:w="958" w:type="dxa"/>
            <w:tcBorders>
              <w:top w:val="nil"/>
              <w:left w:val="nil"/>
              <w:bottom w:val="single" w:sz="8" w:space="0" w:color="auto"/>
              <w:right w:val="single" w:sz="8" w:space="0" w:color="auto"/>
            </w:tcBorders>
            <w:shd w:val="clear" w:color="auto" w:fill="auto"/>
            <w:vAlign w:val="center"/>
            <w:hideMark/>
          </w:tcPr>
          <w:p w14:paraId="44E73CB6"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5</w:t>
            </w:r>
          </w:p>
        </w:tc>
        <w:tc>
          <w:tcPr>
            <w:tcW w:w="958" w:type="dxa"/>
            <w:tcBorders>
              <w:top w:val="nil"/>
              <w:left w:val="nil"/>
              <w:bottom w:val="single" w:sz="8" w:space="0" w:color="auto"/>
              <w:right w:val="single" w:sz="8" w:space="0" w:color="auto"/>
            </w:tcBorders>
            <w:shd w:val="clear" w:color="auto" w:fill="auto"/>
            <w:vAlign w:val="center"/>
            <w:hideMark/>
          </w:tcPr>
          <w:p w14:paraId="7610E6B5"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8" w:type="dxa"/>
            <w:tcBorders>
              <w:top w:val="nil"/>
              <w:left w:val="nil"/>
              <w:bottom w:val="single" w:sz="8" w:space="0" w:color="auto"/>
              <w:right w:val="single" w:sz="8" w:space="0" w:color="auto"/>
            </w:tcBorders>
            <w:shd w:val="clear" w:color="auto" w:fill="auto"/>
            <w:vAlign w:val="center"/>
            <w:hideMark/>
          </w:tcPr>
          <w:p w14:paraId="016FB0BC"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3</w:t>
            </w:r>
          </w:p>
        </w:tc>
        <w:tc>
          <w:tcPr>
            <w:tcW w:w="959" w:type="dxa"/>
            <w:tcBorders>
              <w:top w:val="nil"/>
              <w:left w:val="nil"/>
              <w:bottom w:val="single" w:sz="8" w:space="0" w:color="auto"/>
              <w:right w:val="single" w:sz="8" w:space="0" w:color="auto"/>
            </w:tcBorders>
            <w:shd w:val="clear" w:color="auto" w:fill="auto"/>
            <w:vAlign w:val="center"/>
            <w:hideMark/>
          </w:tcPr>
          <w:p w14:paraId="34DBBCE4"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6CEA5131"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8" w:type="dxa"/>
            <w:tcBorders>
              <w:top w:val="nil"/>
              <w:left w:val="nil"/>
              <w:bottom w:val="single" w:sz="8" w:space="0" w:color="auto"/>
              <w:right w:val="single" w:sz="8" w:space="0" w:color="auto"/>
            </w:tcBorders>
            <w:shd w:val="clear" w:color="auto" w:fill="auto"/>
            <w:vAlign w:val="center"/>
            <w:hideMark/>
          </w:tcPr>
          <w:p w14:paraId="7439AC63"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c>
          <w:tcPr>
            <w:tcW w:w="959" w:type="dxa"/>
            <w:tcBorders>
              <w:top w:val="nil"/>
              <w:left w:val="nil"/>
              <w:bottom w:val="single" w:sz="8" w:space="0" w:color="auto"/>
              <w:right w:val="single" w:sz="8" w:space="0" w:color="auto"/>
            </w:tcBorders>
            <w:shd w:val="clear" w:color="auto" w:fill="auto"/>
            <w:vAlign w:val="center"/>
            <w:hideMark/>
          </w:tcPr>
          <w:p w14:paraId="639743A1" w14:textId="77777777" w:rsidR="00023189" w:rsidRPr="00023189" w:rsidRDefault="00023189" w:rsidP="00023189">
            <w:pPr>
              <w:jc w:val="center"/>
              <w:rPr>
                <w:rFonts w:ascii="Calibri" w:hAnsi="Calibri" w:cs="Calibri"/>
                <w:color w:val="000000"/>
                <w:sz w:val="16"/>
                <w:szCs w:val="16"/>
              </w:rPr>
            </w:pPr>
            <w:r w:rsidRPr="00023189">
              <w:rPr>
                <w:rFonts w:ascii="Calibri" w:hAnsi="Calibri" w:cs="Calibri"/>
                <w:color w:val="000000"/>
                <w:sz w:val="16"/>
                <w:szCs w:val="16"/>
              </w:rPr>
              <w:t>4</w:t>
            </w:r>
          </w:p>
        </w:tc>
      </w:tr>
      <w:tr w:rsidR="00023189" w:rsidRPr="00023189" w14:paraId="4E2D28C2" w14:textId="77777777" w:rsidTr="00023189">
        <w:trPr>
          <w:trHeight w:val="320"/>
        </w:trPr>
        <w:tc>
          <w:tcPr>
            <w:tcW w:w="1433" w:type="dxa"/>
            <w:tcBorders>
              <w:top w:val="nil"/>
              <w:left w:val="single" w:sz="8" w:space="0" w:color="auto"/>
              <w:bottom w:val="single" w:sz="8" w:space="0" w:color="auto"/>
              <w:right w:val="single" w:sz="8" w:space="0" w:color="auto"/>
            </w:tcBorders>
            <w:shd w:val="clear" w:color="auto" w:fill="auto"/>
            <w:vAlign w:val="center"/>
            <w:hideMark/>
          </w:tcPr>
          <w:p w14:paraId="530970B7" w14:textId="77777777" w:rsidR="00023189" w:rsidRPr="00023189" w:rsidRDefault="00023189" w:rsidP="00023189">
            <w:pPr>
              <w:rPr>
                <w:rFonts w:ascii="Calibri" w:hAnsi="Calibri" w:cs="Calibri"/>
                <w:b/>
                <w:bCs/>
                <w:color w:val="000000"/>
                <w:sz w:val="16"/>
                <w:szCs w:val="16"/>
              </w:rPr>
            </w:pPr>
            <w:r w:rsidRPr="00023189">
              <w:rPr>
                <w:rFonts w:ascii="Calibri" w:hAnsi="Calibri" w:cs="Calibri"/>
                <w:b/>
                <w:bCs/>
                <w:color w:val="000000"/>
                <w:sz w:val="16"/>
                <w:szCs w:val="16"/>
              </w:rPr>
              <w:t>Totals</w:t>
            </w:r>
          </w:p>
        </w:tc>
        <w:tc>
          <w:tcPr>
            <w:tcW w:w="958" w:type="dxa"/>
            <w:tcBorders>
              <w:top w:val="nil"/>
              <w:left w:val="nil"/>
              <w:bottom w:val="single" w:sz="8" w:space="0" w:color="auto"/>
              <w:right w:val="single" w:sz="8" w:space="0" w:color="auto"/>
            </w:tcBorders>
            <w:shd w:val="clear" w:color="auto" w:fill="auto"/>
            <w:vAlign w:val="center"/>
            <w:hideMark/>
          </w:tcPr>
          <w:p w14:paraId="2C3610FF"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100</w:t>
            </w:r>
          </w:p>
        </w:tc>
        <w:tc>
          <w:tcPr>
            <w:tcW w:w="958" w:type="dxa"/>
            <w:tcBorders>
              <w:top w:val="nil"/>
              <w:left w:val="nil"/>
              <w:bottom w:val="single" w:sz="8" w:space="0" w:color="auto"/>
              <w:right w:val="single" w:sz="8" w:space="0" w:color="auto"/>
            </w:tcBorders>
            <w:shd w:val="clear" w:color="auto" w:fill="auto"/>
            <w:vAlign w:val="center"/>
            <w:hideMark/>
          </w:tcPr>
          <w:p w14:paraId="3136CB6C"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24</w:t>
            </w:r>
          </w:p>
        </w:tc>
        <w:tc>
          <w:tcPr>
            <w:tcW w:w="958" w:type="dxa"/>
            <w:tcBorders>
              <w:top w:val="nil"/>
              <w:left w:val="nil"/>
              <w:bottom w:val="single" w:sz="8" w:space="0" w:color="auto"/>
              <w:right w:val="single" w:sz="8" w:space="0" w:color="auto"/>
            </w:tcBorders>
            <w:shd w:val="clear" w:color="auto" w:fill="auto"/>
            <w:vAlign w:val="center"/>
            <w:hideMark/>
          </w:tcPr>
          <w:p w14:paraId="1E26BE56"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60</w:t>
            </w:r>
          </w:p>
        </w:tc>
        <w:tc>
          <w:tcPr>
            <w:tcW w:w="959" w:type="dxa"/>
            <w:tcBorders>
              <w:top w:val="nil"/>
              <w:left w:val="nil"/>
              <w:bottom w:val="single" w:sz="8" w:space="0" w:color="auto"/>
              <w:right w:val="single" w:sz="8" w:space="0" w:color="auto"/>
            </w:tcBorders>
            <w:shd w:val="clear" w:color="auto" w:fill="auto"/>
            <w:vAlign w:val="center"/>
            <w:hideMark/>
          </w:tcPr>
          <w:p w14:paraId="4F60A363"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32</w:t>
            </w:r>
          </w:p>
        </w:tc>
        <w:tc>
          <w:tcPr>
            <w:tcW w:w="958" w:type="dxa"/>
            <w:tcBorders>
              <w:top w:val="nil"/>
              <w:left w:val="nil"/>
              <w:bottom w:val="single" w:sz="8" w:space="0" w:color="auto"/>
              <w:right w:val="single" w:sz="8" w:space="0" w:color="auto"/>
            </w:tcBorders>
            <w:shd w:val="clear" w:color="auto" w:fill="auto"/>
            <w:vAlign w:val="center"/>
            <w:hideMark/>
          </w:tcPr>
          <w:p w14:paraId="4968E501"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80</w:t>
            </w:r>
          </w:p>
        </w:tc>
        <w:tc>
          <w:tcPr>
            <w:tcW w:w="958" w:type="dxa"/>
            <w:tcBorders>
              <w:top w:val="nil"/>
              <w:left w:val="nil"/>
              <w:bottom w:val="single" w:sz="8" w:space="0" w:color="auto"/>
              <w:right w:val="single" w:sz="8" w:space="0" w:color="auto"/>
            </w:tcBorders>
            <w:shd w:val="clear" w:color="auto" w:fill="auto"/>
            <w:vAlign w:val="center"/>
            <w:hideMark/>
          </w:tcPr>
          <w:p w14:paraId="5826419C"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37</w:t>
            </w:r>
          </w:p>
        </w:tc>
        <w:tc>
          <w:tcPr>
            <w:tcW w:w="959" w:type="dxa"/>
            <w:tcBorders>
              <w:top w:val="nil"/>
              <w:left w:val="nil"/>
              <w:bottom w:val="single" w:sz="8" w:space="0" w:color="auto"/>
              <w:right w:val="single" w:sz="8" w:space="0" w:color="auto"/>
            </w:tcBorders>
            <w:shd w:val="clear" w:color="auto" w:fill="auto"/>
            <w:vAlign w:val="center"/>
            <w:hideMark/>
          </w:tcPr>
          <w:p w14:paraId="4EAFED3D" w14:textId="77777777" w:rsidR="00023189" w:rsidRPr="00023189" w:rsidRDefault="00023189" w:rsidP="00023189">
            <w:pPr>
              <w:jc w:val="center"/>
              <w:rPr>
                <w:rFonts w:ascii="Calibri" w:hAnsi="Calibri" w:cs="Calibri"/>
                <w:b/>
                <w:bCs/>
                <w:color w:val="000000"/>
                <w:sz w:val="16"/>
                <w:szCs w:val="16"/>
              </w:rPr>
            </w:pPr>
            <w:r w:rsidRPr="00023189">
              <w:rPr>
                <w:rFonts w:ascii="Calibri" w:hAnsi="Calibri" w:cs="Calibri"/>
                <w:b/>
                <w:bCs/>
                <w:color w:val="000000"/>
                <w:sz w:val="16"/>
                <w:szCs w:val="16"/>
              </w:rPr>
              <w:t>93</w:t>
            </w:r>
          </w:p>
        </w:tc>
      </w:tr>
    </w:tbl>
    <w:p w14:paraId="0FEFE463" w14:textId="77777777" w:rsidR="00F63B27" w:rsidRPr="000D6975" w:rsidRDefault="00F63B27" w:rsidP="00922604">
      <w:pPr>
        <w:spacing w:line="276" w:lineRule="auto"/>
        <w:rPr>
          <w:rFonts w:cstheme="minorHAnsi"/>
          <w:b/>
          <w:bCs/>
          <w:color w:val="000000" w:themeColor="text1"/>
          <w:sz w:val="22"/>
          <w:szCs w:val="32"/>
        </w:rPr>
      </w:pPr>
    </w:p>
    <w:p w14:paraId="696E0CB4" w14:textId="2B106BAA" w:rsidR="002A444F" w:rsidRPr="002A444F" w:rsidRDefault="00F63B27" w:rsidP="002A444F">
      <w:pPr>
        <w:spacing w:line="276" w:lineRule="auto"/>
        <w:ind w:left="720"/>
        <w:jc w:val="center"/>
        <w:rPr>
          <w:rFonts w:cstheme="minorHAnsi"/>
          <w:i/>
          <w:iCs/>
          <w:color w:val="4F80F7"/>
        </w:rPr>
      </w:pPr>
      <w:r w:rsidRPr="00AA08AA">
        <w:rPr>
          <w:rFonts w:cstheme="minorHAnsi"/>
          <w:i/>
          <w:iCs/>
          <w:color w:val="4F80F7"/>
        </w:rPr>
        <w:t xml:space="preserve">Total </w:t>
      </w:r>
      <w:r>
        <w:rPr>
          <w:rFonts w:cstheme="minorHAnsi"/>
          <w:i/>
          <w:iCs/>
          <w:color w:val="4F80F7"/>
        </w:rPr>
        <w:t>m</w:t>
      </w:r>
      <w:r w:rsidRPr="00AA08AA">
        <w:rPr>
          <w:rFonts w:cstheme="minorHAnsi"/>
          <w:i/>
          <w:iCs/>
          <w:color w:val="4F80F7"/>
        </w:rPr>
        <w:t xml:space="preserve">arks awarded x </w:t>
      </w:r>
      <w:r>
        <w:rPr>
          <w:rFonts w:cstheme="minorHAnsi"/>
          <w:i/>
          <w:iCs/>
          <w:color w:val="4F80F7"/>
        </w:rPr>
        <w:t>q</w:t>
      </w:r>
      <w:r w:rsidRPr="00AA08AA">
        <w:rPr>
          <w:rFonts w:cstheme="minorHAnsi"/>
          <w:i/>
          <w:iCs/>
          <w:color w:val="4F80F7"/>
        </w:rPr>
        <w:t xml:space="preserve">uality </w:t>
      </w:r>
      <w:r>
        <w:rPr>
          <w:rFonts w:cstheme="minorHAnsi"/>
          <w:i/>
          <w:iCs/>
          <w:color w:val="4F80F7"/>
        </w:rPr>
        <w:t>s</w:t>
      </w:r>
      <w:r w:rsidRPr="00AA08AA">
        <w:rPr>
          <w:rFonts w:cstheme="minorHAnsi"/>
          <w:i/>
          <w:iCs/>
          <w:color w:val="4F80F7"/>
        </w:rPr>
        <w:t xml:space="preserve">core </w:t>
      </w:r>
      <w:r>
        <w:rPr>
          <w:rFonts w:cstheme="minorHAnsi"/>
          <w:i/>
          <w:iCs/>
          <w:color w:val="4F80F7"/>
        </w:rPr>
        <w:t>w</w:t>
      </w:r>
      <w:r w:rsidRPr="00AA08AA">
        <w:rPr>
          <w:rFonts w:cstheme="minorHAnsi"/>
          <w:i/>
          <w:iCs/>
          <w:color w:val="4F80F7"/>
        </w:rPr>
        <w:t xml:space="preserve">eighting % = </w:t>
      </w:r>
      <w:r>
        <w:rPr>
          <w:rFonts w:cstheme="minorHAnsi"/>
          <w:i/>
          <w:iCs/>
          <w:color w:val="4F80F7"/>
        </w:rPr>
        <w:t>q</w:t>
      </w:r>
      <w:r w:rsidRPr="00AA08AA">
        <w:rPr>
          <w:rFonts w:cstheme="minorHAnsi"/>
          <w:i/>
          <w:iCs/>
          <w:color w:val="4F80F7"/>
        </w:rPr>
        <w:t xml:space="preserve">uality </w:t>
      </w:r>
      <w:r>
        <w:rPr>
          <w:rFonts w:cstheme="minorHAnsi"/>
          <w:i/>
          <w:iCs/>
          <w:color w:val="4F80F7"/>
        </w:rPr>
        <w:t>s</w:t>
      </w:r>
      <w:r w:rsidRPr="00AA08AA">
        <w:rPr>
          <w:rFonts w:cstheme="minorHAnsi"/>
          <w:i/>
          <w:iCs/>
          <w:color w:val="4F80F7"/>
        </w:rPr>
        <w:t>core</w:t>
      </w:r>
    </w:p>
    <w:p w14:paraId="617DDE6A" w14:textId="2414E7C6" w:rsidR="002A444F" w:rsidRDefault="002A444F" w:rsidP="009242B7"/>
    <w:tbl>
      <w:tblPr>
        <w:tblW w:w="8133" w:type="dxa"/>
        <w:tblInd w:w="1071" w:type="dxa"/>
        <w:tblLook w:val="04A0" w:firstRow="1" w:lastRow="0" w:firstColumn="1" w:lastColumn="0" w:noHBand="0" w:noVBand="1"/>
      </w:tblPr>
      <w:tblGrid>
        <w:gridCol w:w="1613"/>
        <w:gridCol w:w="2173"/>
        <w:gridCol w:w="2173"/>
        <w:gridCol w:w="2174"/>
      </w:tblGrid>
      <w:tr w:rsidR="009E676B" w:rsidRPr="009E676B" w14:paraId="74CD1CB0" w14:textId="77777777" w:rsidTr="009E676B">
        <w:trPr>
          <w:trHeight w:val="61"/>
        </w:trPr>
        <w:tc>
          <w:tcPr>
            <w:tcW w:w="16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B53530" w14:textId="77777777" w:rsidR="009E676B" w:rsidRPr="009E676B" w:rsidRDefault="009E676B" w:rsidP="009E676B">
            <w:pPr>
              <w:rPr>
                <w:rFonts w:ascii="Calibri" w:hAnsi="Calibri" w:cs="Calibri"/>
                <w:b/>
                <w:bCs/>
                <w:color w:val="000000"/>
                <w:szCs w:val="20"/>
              </w:rPr>
            </w:pPr>
            <w:r w:rsidRPr="009E676B">
              <w:rPr>
                <w:rFonts w:ascii="Calibri" w:hAnsi="Calibri" w:cs="Calibri"/>
                <w:b/>
                <w:bCs/>
                <w:color w:val="000000"/>
                <w:szCs w:val="20"/>
              </w:rPr>
              <w:t> </w:t>
            </w:r>
          </w:p>
        </w:tc>
        <w:tc>
          <w:tcPr>
            <w:tcW w:w="2173" w:type="dxa"/>
            <w:tcBorders>
              <w:top w:val="single" w:sz="8" w:space="0" w:color="auto"/>
              <w:left w:val="nil"/>
              <w:bottom w:val="single" w:sz="8" w:space="0" w:color="auto"/>
              <w:right w:val="single" w:sz="8" w:space="0" w:color="auto"/>
            </w:tcBorders>
            <w:shd w:val="clear" w:color="auto" w:fill="auto"/>
            <w:vAlign w:val="center"/>
            <w:hideMark/>
          </w:tcPr>
          <w:p w14:paraId="0FC63EDE" w14:textId="77777777" w:rsidR="009E676B" w:rsidRPr="009E676B" w:rsidRDefault="009E676B" w:rsidP="009E676B">
            <w:pPr>
              <w:jc w:val="center"/>
              <w:rPr>
                <w:rFonts w:ascii="Calibri" w:hAnsi="Calibri" w:cs="Calibri"/>
                <w:b/>
                <w:bCs/>
                <w:color w:val="000000"/>
                <w:szCs w:val="20"/>
              </w:rPr>
            </w:pPr>
            <w:r w:rsidRPr="009E676B">
              <w:rPr>
                <w:rFonts w:ascii="Calibri" w:hAnsi="Calibri" w:cs="Calibri"/>
                <w:b/>
                <w:bCs/>
                <w:color w:val="000000"/>
                <w:szCs w:val="20"/>
              </w:rPr>
              <w:t>Total marks awarded</w:t>
            </w:r>
          </w:p>
        </w:tc>
        <w:tc>
          <w:tcPr>
            <w:tcW w:w="2173" w:type="dxa"/>
            <w:tcBorders>
              <w:top w:val="single" w:sz="8" w:space="0" w:color="auto"/>
              <w:left w:val="nil"/>
              <w:bottom w:val="single" w:sz="8" w:space="0" w:color="auto"/>
              <w:right w:val="single" w:sz="8" w:space="0" w:color="auto"/>
            </w:tcBorders>
            <w:shd w:val="clear" w:color="auto" w:fill="auto"/>
            <w:vAlign w:val="center"/>
            <w:hideMark/>
          </w:tcPr>
          <w:p w14:paraId="4366889D" w14:textId="77777777" w:rsidR="009E676B" w:rsidRPr="009E676B" w:rsidRDefault="009E676B" w:rsidP="009E676B">
            <w:pPr>
              <w:jc w:val="center"/>
              <w:rPr>
                <w:rFonts w:ascii="Calibri" w:hAnsi="Calibri" w:cs="Calibri"/>
                <w:b/>
                <w:bCs/>
                <w:color w:val="000000"/>
                <w:szCs w:val="20"/>
              </w:rPr>
            </w:pPr>
            <w:r w:rsidRPr="009E676B">
              <w:rPr>
                <w:rFonts w:ascii="Calibri" w:hAnsi="Calibri" w:cs="Calibri"/>
                <w:b/>
                <w:bCs/>
                <w:color w:val="000000"/>
                <w:szCs w:val="20"/>
              </w:rPr>
              <w:t>Quality score weighting</w:t>
            </w:r>
          </w:p>
        </w:tc>
        <w:tc>
          <w:tcPr>
            <w:tcW w:w="2174" w:type="dxa"/>
            <w:tcBorders>
              <w:top w:val="single" w:sz="8" w:space="0" w:color="auto"/>
              <w:left w:val="nil"/>
              <w:bottom w:val="single" w:sz="8" w:space="0" w:color="auto"/>
              <w:right w:val="single" w:sz="8" w:space="0" w:color="auto"/>
            </w:tcBorders>
            <w:shd w:val="clear" w:color="auto" w:fill="auto"/>
            <w:vAlign w:val="center"/>
            <w:hideMark/>
          </w:tcPr>
          <w:p w14:paraId="4F93D131" w14:textId="77777777" w:rsidR="009E676B" w:rsidRPr="009E676B" w:rsidRDefault="009E676B" w:rsidP="009E676B">
            <w:pPr>
              <w:jc w:val="center"/>
              <w:rPr>
                <w:rFonts w:ascii="Calibri" w:hAnsi="Calibri" w:cs="Calibri"/>
                <w:b/>
                <w:bCs/>
                <w:color w:val="000000"/>
                <w:szCs w:val="20"/>
              </w:rPr>
            </w:pPr>
            <w:r w:rsidRPr="009E676B">
              <w:rPr>
                <w:rFonts w:ascii="Calibri" w:hAnsi="Calibri" w:cs="Calibri"/>
                <w:b/>
                <w:bCs/>
                <w:color w:val="000000"/>
                <w:szCs w:val="20"/>
              </w:rPr>
              <w:t>Quality score awarded</w:t>
            </w:r>
          </w:p>
        </w:tc>
      </w:tr>
      <w:tr w:rsidR="009E676B" w:rsidRPr="009E676B" w14:paraId="2D1D614F" w14:textId="77777777" w:rsidTr="009E676B">
        <w:trPr>
          <w:trHeight w:val="320"/>
        </w:trPr>
        <w:tc>
          <w:tcPr>
            <w:tcW w:w="1613" w:type="dxa"/>
            <w:tcBorders>
              <w:top w:val="nil"/>
              <w:left w:val="single" w:sz="8" w:space="0" w:color="auto"/>
              <w:bottom w:val="single" w:sz="8" w:space="0" w:color="auto"/>
              <w:right w:val="single" w:sz="8" w:space="0" w:color="auto"/>
            </w:tcBorders>
            <w:shd w:val="clear" w:color="auto" w:fill="auto"/>
            <w:vAlign w:val="center"/>
            <w:hideMark/>
          </w:tcPr>
          <w:p w14:paraId="7BD28E9C" w14:textId="77777777" w:rsidR="009E676B" w:rsidRPr="009E676B" w:rsidRDefault="009E676B" w:rsidP="009E676B">
            <w:pPr>
              <w:rPr>
                <w:rFonts w:ascii="Calibri" w:hAnsi="Calibri" w:cs="Calibri"/>
                <w:color w:val="000000"/>
                <w:szCs w:val="20"/>
              </w:rPr>
            </w:pPr>
            <w:r w:rsidRPr="009E676B">
              <w:rPr>
                <w:rFonts w:ascii="Calibri" w:hAnsi="Calibri" w:cs="Calibri"/>
                <w:color w:val="000000"/>
                <w:szCs w:val="20"/>
              </w:rPr>
              <w:t>Bidder A</w:t>
            </w:r>
          </w:p>
        </w:tc>
        <w:tc>
          <w:tcPr>
            <w:tcW w:w="2173" w:type="dxa"/>
            <w:tcBorders>
              <w:top w:val="nil"/>
              <w:left w:val="nil"/>
              <w:bottom w:val="single" w:sz="8" w:space="0" w:color="auto"/>
              <w:right w:val="single" w:sz="8" w:space="0" w:color="auto"/>
            </w:tcBorders>
            <w:shd w:val="clear" w:color="auto" w:fill="auto"/>
            <w:vAlign w:val="center"/>
            <w:hideMark/>
          </w:tcPr>
          <w:p w14:paraId="57B5EE7B"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60</w:t>
            </w:r>
          </w:p>
        </w:tc>
        <w:tc>
          <w:tcPr>
            <w:tcW w:w="2173" w:type="dxa"/>
            <w:tcBorders>
              <w:top w:val="nil"/>
              <w:left w:val="nil"/>
              <w:bottom w:val="single" w:sz="8" w:space="0" w:color="auto"/>
              <w:right w:val="single" w:sz="8" w:space="0" w:color="auto"/>
            </w:tcBorders>
            <w:shd w:val="clear" w:color="auto" w:fill="auto"/>
            <w:vAlign w:val="center"/>
            <w:hideMark/>
          </w:tcPr>
          <w:p w14:paraId="798ACF9A"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60%</w:t>
            </w:r>
          </w:p>
        </w:tc>
        <w:tc>
          <w:tcPr>
            <w:tcW w:w="2174" w:type="dxa"/>
            <w:tcBorders>
              <w:top w:val="nil"/>
              <w:left w:val="nil"/>
              <w:bottom w:val="single" w:sz="8" w:space="0" w:color="auto"/>
              <w:right w:val="single" w:sz="8" w:space="0" w:color="auto"/>
            </w:tcBorders>
            <w:shd w:val="clear" w:color="auto" w:fill="auto"/>
            <w:vAlign w:val="center"/>
            <w:hideMark/>
          </w:tcPr>
          <w:p w14:paraId="5D4B4EDD"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36</w:t>
            </w:r>
          </w:p>
        </w:tc>
      </w:tr>
      <w:tr w:rsidR="009E676B" w:rsidRPr="009E676B" w14:paraId="46DFB0AE" w14:textId="77777777" w:rsidTr="009E676B">
        <w:trPr>
          <w:trHeight w:val="61"/>
        </w:trPr>
        <w:tc>
          <w:tcPr>
            <w:tcW w:w="1613" w:type="dxa"/>
            <w:tcBorders>
              <w:top w:val="nil"/>
              <w:left w:val="single" w:sz="8" w:space="0" w:color="auto"/>
              <w:bottom w:val="single" w:sz="8" w:space="0" w:color="auto"/>
              <w:right w:val="single" w:sz="8" w:space="0" w:color="auto"/>
            </w:tcBorders>
            <w:shd w:val="clear" w:color="auto" w:fill="auto"/>
            <w:vAlign w:val="center"/>
            <w:hideMark/>
          </w:tcPr>
          <w:p w14:paraId="5B2AD230" w14:textId="77777777" w:rsidR="009E676B" w:rsidRPr="009E676B" w:rsidRDefault="009E676B" w:rsidP="009E676B">
            <w:pPr>
              <w:rPr>
                <w:rFonts w:ascii="Calibri" w:hAnsi="Calibri" w:cs="Calibri"/>
                <w:color w:val="000000"/>
                <w:szCs w:val="20"/>
              </w:rPr>
            </w:pPr>
            <w:r w:rsidRPr="009E676B">
              <w:rPr>
                <w:rFonts w:ascii="Calibri" w:hAnsi="Calibri" w:cs="Calibri"/>
                <w:color w:val="000000"/>
                <w:szCs w:val="20"/>
              </w:rPr>
              <w:t>Bidder B</w:t>
            </w:r>
          </w:p>
        </w:tc>
        <w:tc>
          <w:tcPr>
            <w:tcW w:w="2173" w:type="dxa"/>
            <w:tcBorders>
              <w:top w:val="nil"/>
              <w:left w:val="nil"/>
              <w:bottom w:val="single" w:sz="8" w:space="0" w:color="auto"/>
              <w:right w:val="single" w:sz="8" w:space="0" w:color="auto"/>
            </w:tcBorders>
            <w:shd w:val="clear" w:color="auto" w:fill="auto"/>
            <w:vAlign w:val="center"/>
            <w:hideMark/>
          </w:tcPr>
          <w:p w14:paraId="14CE6803"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80</w:t>
            </w:r>
          </w:p>
        </w:tc>
        <w:tc>
          <w:tcPr>
            <w:tcW w:w="2173" w:type="dxa"/>
            <w:tcBorders>
              <w:top w:val="nil"/>
              <w:left w:val="nil"/>
              <w:bottom w:val="single" w:sz="8" w:space="0" w:color="auto"/>
              <w:right w:val="single" w:sz="8" w:space="0" w:color="auto"/>
            </w:tcBorders>
            <w:shd w:val="clear" w:color="auto" w:fill="auto"/>
            <w:vAlign w:val="center"/>
            <w:hideMark/>
          </w:tcPr>
          <w:p w14:paraId="4D78F622"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60%</w:t>
            </w:r>
          </w:p>
        </w:tc>
        <w:tc>
          <w:tcPr>
            <w:tcW w:w="2174" w:type="dxa"/>
            <w:tcBorders>
              <w:top w:val="nil"/>
              <w:left w:val="nil"/>
              <w:bottom w:val="single" w:sz="8" w:space="0" w:color="auto"/>
              <w:right w:val="single" w:sz="8" w:space="0" w:color="auto"/>
            </w:tcBorders>
            <w:shd w:val="clear" w:color="auto" w:fill="auto"/>
            <w:vAlign w:val="center"/>
            <w:hideMark/>
          </w:tcPr>
          <w:p w14:paraId="34875549"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48</w:t>
            </w:r>
          </w:p>
        </w:tc>
      </w:tr>
      <w:tr w:rsidR="009E676B" w:rsidRPr="009E676B" w14:paraId="2529B7B0" w14:textId="77777777" w:rsidTr="009E676B">
        <w:trPr>
          <w:trHeight w:val="61"/>
        </w:trPr>
        <w:tc>
          <w:tcPr>
            <w:tcW w:w="1613" w:type="dxa"/>
            <w:tcBorders>
              <w:top w:val="nil"/>
              <w:left w:val="single" w:sz="8" w:space="0" w:color="auto"/>
              <w:bottom w:val="single" w:sz="8" w:space="0" w:color="auto"/>
              <w:right w:val="single" w:sz="8" w:space="0" w:color="auto"/>
            </w:tcBorders>
            <w:shd w:val="clear" w:color="auto" w:fill="auto"/>
            <w:vAlign w:val="center"/>
            <w:hideMark/>
          </w:tcPr>
          <w:p w14:paraId="0E89D0EA" w14:textId="77777777" w:rsidR="009E676B" w:rsidRPr="009E676B" w:rsidRDefault="009E676B" w:rsidP="009E676B">
            <w:pPr>
              <w:rPr>
                <w:rFonts w:ascii="Calibri" w:hAnsi="Calibri" w:cs="Calibri"/>
                <w:color w:val="000000"/>
                <w:szCs w:val="20"/>
              </w:rPr>
            </w:pPr>
            <w:r w:rsidRPr="009E676B">
              <w:rPr>
                <w:rFonts w:ascii="Calibri" w:hAnsi="Calibri" w:cs="Calibri"/>
                <w:color w:val="000000"/>
                <w:szCs w:val="20"/>
              </w:rPr>
              <w:t>Bidder C</w:t>
            </w:r>
          </w:p>
        </w:tc>
        <w:tc>
          <w:tcPr>
            <w:tcW w:w="2173" w:type="dxa"/>
            <w:tcBorders>
              <w:top w:val="nil"/>
              <w:left w:val="nil"/>
              <w:bottom w:val="single" w:sz="8" w:space="0" w:color="auto"/>
              <w:right w:val="single" w:sz="8" w:space="0" w:color="auto"/>
            </w:tcBorders>
            <w:shd w:val="clear" w:color="auto" w:fill="auto"/>
            <w:vAlign w:val="center"/>
            <w:hideMark/>
          </w:tcPr>
          <w:p w14:paraId="58206258"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93</w:t>
            </w:r>
          </w:p>
        </w:tc>
        <w:tc>
          <w:tcPr>
            <w:tcW w:w="2173" w:type="dxa"/>
            <w:tcBorders>
              <w:top w:val="nil"/>
              <w:left w:val="nil"/>
              <w:bottom w:val="single" w:sz="8" w:space="0" w:color="auto"/>
              <w:right w:val="single" w:sz="8" w:space="0" w:color="auto"/>
            </w:tcBorders>
            <w:shd w:val="clear" w:color="auto" w:fill="auto"/>
            <w:vAlign w:val="center"/>
            <w:hideMark/>
          </w:tcPr>
          <w:p w14:paraId="6D69B2CA"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60%</w:t>
            </w:r>
          </w:p>
        </w:tc>
        <w:tc>
          <w:tcPr>
            <w:tcW w:w="2174" w:type="dxa"/>
            <w:tcBorders>
              <w:top w:val="nil"/>
              <w:left w:val="nil"/>
              <w:bottom w:val="single" w:sz="8" w:space="0" w:color="auto"/>
              <w:right w:val="single" w:sz="8" w:space="0" w:color="auto"/>
            </w:tcBorders>
            <w:shd w:val="clear" w:color="auto" w:fill="auto"/>
            <w:vAlign w:val="center"/>
            <w:hideMark/>
          </w:tcPr>
          <w:p w14:paraId="0AFCF402"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55.8</w:t>
            </w:r>
          </w:p>
        </w:tc>
      </w:tr>
    </w:tbl>
    <w:p w14:paraId="06463605" w14:textId="77777777" w:rsidR="00F63B27" w:rsidRDefault="00F63B27" w:rsidP="002A444F">
      <w:pPr>
        <w:pStyle w:val="Level2"/>
        <w:numPr>
          <w:ilvl w:val="0"/>
          <w:numId w:val="0"/>
        </w:numPr>
      </w:pPr>
    </w:p>
    <w:p w14:paraId="4E930321" w14:textId="77777777" w:rsidR="00F63B27" w:rsidRPr="003605A6" w:rsidRDefault="00F63B27" w:rsidP="00AB6AE2">
      <w:pPr>
        <w:pStyle w:val="Level2"/>
      </w:pPr>
      <w:r w:rsidRPr="003605A6">
        <w:t>Cost Score</w:t>
      </w:r>
    </w:p>
    <w:p w14:paraId="78EBF45B" w14:textId="77777777" w:rsidR="00F63B27" w:rsidRPr="00717868" w:rsidRDefault="00F63B27" w:rsidP="00F63B27">
      <w:pPr>
        <w:spacing w:line="276" w:lineRule="auto"/>
        <w:ind w:left="1134" w:hanging="57"/>
        <w:jc w:val="both"/>
        <w:rPr>
          <w:rFonts w:cstheme="minorHAnsi"/>
        </w:rPr>
      </w:pPr>
      <w:r w:rsidRPr="00571257">
        <w:rPr>
          <w:rFonts w:cstheme="minorHAnsi"/>
        </w:rPr>
        <w:t xml:space="preserve">The evaluation of the submitted costs will be marked in accordance with the </w:t>
      </w:r>
      <w:r w:rsidRPr="00571257">
        <w:rPr>
          <w:rFonts w:cstheme="minorHAnsi"/>
          <w:b/>
          <w:bCs/>
        </w:rPr>
        <w:t>Cost Assessment</w:t>
      </w:r>
      <w:r w:rsidRPr="00571257">
        <w:rPr>
          <w:rFonts w:cstheme="minorHAnsi"/>
        </w:rPr>
        <w:t xml:space="preserve"> </w:t>
      </w:r>
      <w:r w:rsidRPr="009D390C">
        <w:rPr>
          <w:rFonts w:cstheme="minorHAnsi"/>
        </w:rPr>
        <w:t>table</w:t>
      </w:r>
      <w:r w:rsidRPr="00571257">
        <w:rPr>
          <w:rFonts w:cstheme="minorHAnsi"/>
          <w:b/>
          <w:bCs/>
        </w:rPr>
        <w:t xml:space="preserve"> </w:t>
      </w:r>
      <w:r w:rsidRPr="00571257">
        <w:rPr>
          <w:rFonts w:cstheme="minorHAnsi"/>
        </w:rPr>
        <w:t>below</w:t>
      </w:r>
      <w:r>
        <w:rPr>
          <w:rFonts w:cstheme="minorHAnsi"/>
        </w:rPr>
        <w:t xml:space="preserve">. </w:t>
      </w:r>
    </w:p>
    <w:p w14:paraId="0F0A526E" w14:textId="77777777" w:rsidR="00F63B27" w:rsidRDefault="00F63B27" w:rsidP="00F63B27">
      <w:pPr>
        <w:spacing w:line="276" w:lineRule="auto"/>
        <w:ind w:left="2880"/>
        <w:rPr>
          <w:rFonts w:cstheme="minorHAnsi"/>
        </w:rPr>
      </w:pPr>
    </w:p>
    <w:tbl>
      <w:tblPr>
        <w:tblStyle w:val="TableGrid"/>
        <w:tblW w:w="8670" w:type="dxa"/>
        <w:tblInd w:w="1129" w:type="dxa"/>
        <w:tblLook w:val="04A0" w:firstRow="1" w:lastRow="0" w:firstColumn="1" w:lastColumn="0" w:noHBand="0" w:noVBand="1"/>
      </w:tblPr>
      <w:tblGrid>
        <w:gridCol w:w="1260"/>
        <w:gridCol w:w="5842"/>
        <w:gridCol w:w="1568"/>
      </w:tblGrid>
      <w:tr w:rsidR="00F63B27" w:rsidRPr="009D390C" w14:paraId="37E1CB61" w14:textId="77777777" w:rsidTr="5ED74817">
        <w:tc>
          <w:tcPr>
            <w:tcW w:w="1260" w:type="dxa"/>
            <w:shd w:val="clear" w:color="auto" w:fill="auto"/>
            <w:vAlign w:val="center"/>
          </w:tcPr>
          <w:p w14:paraId="1A08F3BF" w14:textId="77777777" w:rsidR="00F63B27" w:rsidRPr="009D390C" w:rsidRDefault="00F63B27" w:rsidP="002367AB">
            <w:pPr>
              <w:spacing w:line="276" w:lineRule="auto"/>
              <w:rPr>
                <w:rFonts w:cstheme="minorHAnsi"/>
                <w:b/>
                <w:bCs/>
                <w:color w:val="000000" w:themeColor="text1"/>
              </w:rPr>
            </w:pPr>
            <w:r w:rsidRPr="009D390C">
              <w:rPr>
                <w:rFonts w:cstheme="minorHAnsi"/>
                <w:b/>
                <w:bCs/>
                <w:color w:val="000000" w:themeColor="text1"/>
              </w:rPr>
              <w:t xml:space="preserve">Cost </w:t>
            </w:r>
            <w:r>
              <w:rPr>
                <w:rFonts w:cstheme="minorHAnsi"/>
                <w:b/>
                <w:bCs/>
                <w:color w:val="000000" w:themeColor="text1"/>
              </w:rPr>
              <w:t>a</w:t>
            </w:r>
            <w:r w:rsidRPr="009D390C">
              <w:rPr>
                <w:rFonts w:cstheme="minorHAnsi"/>
                <w:b/>
                <w:bCs/>
                <w:color w:val="000000" w:themeColor="text1"/>
              </w:rPr>
              <w:t xml:space="preserve">ssessment </w:t>
            </w:r>
          </w:p>
        </w:tc>
        <w:tc>
          <w:tcPr>
            <w:tcW w:w="5842" w:type="dxa"/>
            <w:shd w:val="clear" w:color="auto" w:fill="auto"/>
            <w:vAlign w:val="center"/>
          </w:tcPr>
          <w:p w14:paraId="647B9930" w14:textId="77777777" w:rsidR="00F63B27" w:rsidRPr="009D390C" w:rsidRDefault="00F63B27" w:rsidP="002367AB">
            <w:pPr>
              <w:spacing w:line="276" w:lineRule="auto"/>
              <w:rPr>
                <w:rFonts w:cstheme="minorHAnsi"/>
                <w:b/>
                <w:bCs/>
                <w:color w:val="000000" w:themeColor="text1"/>
              </w:rPr>
            </w:pPr>
            <w:r w:rsidRPr="009D390C">
              <w:rPr>
                <w:rFonts w:cstheme="minorHAnsi"/>
                <w:b/>
                <w:bCs/>
                <w:color w:val="000000" w:themeColor="text1"/>
              </w:rPr>
              <w:t xml:space="preserve">Relative </w:t>
            </w:r>
            <w:r>
              <w:rPr>
                <w:rFonts w:cstheme="minorHAnsi"/>
                <w:b/>
                <w:bCs/>
                <w:color w:val="000000" w:themeColor="text1"/>
              </w:rPr>
              <w:t>c</w:t>
            </w:r>
            <w:r w:rsidRPr="009D390C">
              <w:rPr>
                <w:rFonts w:cstheme="minorHAnsi"/>
                <w:b/>
                <w:bCs/>
                <w:color w:val="000000" w:themeColor="text1"/>
              </w:rPr>
              <w:t>osts</w:t>
            </w:r>
          </w:p>
        </w:tc>
        <w:tc>
          <w:tcPr>
            <w:tcW w:w="1568" w:type="dxa"/>
            <w:shd w:val="clear" w:color="auto" w:fill="auto"/>
            <w:vAlign w:val="center"/>
          </w:tcPr>
          <w:p w14:paraId="74B0A61E" w14:textId="77777777" w:rsidR="00F63B27" w:rsidRPr="009D390C" w:rsidRDefault="00F63B27" w:rsidP="002367AB">
            <w:pPr>
              <w:spacing w:line="276" w:lineRule="auto"/>
              <w:jc w:val="center"/>
              <w:rPr>
                <w:rFonts w:cstheme="minorHAnsi"/>
                <w:b/>
                <w:bCs/>
                <w:color w:val="000000" w:themeColor="text1"/>
              </w:rPr>
            </w:pPr>
            <w:r w:rsidRPr="009D390C">
              <w:rPr>
                <w:rFonts w:cstheme="minorHAnsi"/>
                <w:b/>
                <w:bCs/>
                <w:color w:val="000000" w:themeColor="text1"/>
              </w:rPr>
              <w:t xml:space="preserve">Maximum </w:t>
            </w:r>
            <w:r>
              <w:rPr>
                <w:rFonts w:cstheme="minorHAnsi"/>
                <w:b/>
                <w:bCs/>
                <w:color w:val="000000" w:themeColor="text1"/>
              </w:rPr>
              <w:t>m</w:t>
            </w:r>
            <w:r w:rsidRPr="009D390C">
              <w:rPr>
                <w:rFonts w:cstheme="minorHAnsi"/>
                <w:b/>
                <w:bCs/>
                <w:color w:val="000000" w:themeColor="text1"/>
              </w:rPr>
              <w:t xml:space="preserve">arks </w:t>
            </w:r>
            <w:r>
              <w:rPr>
                <w:rFonts w:cstheme="minorHAnsi"/>
                <w:b/>
                <w:bCs/>
                <w:color w:val="000000" w:themeColor="text1"/>
              </w:rPr>
              <w:t>a</w:t>
            </w:r>
            <w:r w:rsidRPr="009D390C">
              <w:rPr>
                <w:rFonts w:cstheme="minorHAnsi"/>
                <w:b/>
                <w:bCs/>
                <w:color w:val="000000" w:themeColor="text1"/>
              </w:rPr>
              <w:t>vailable</w:t>
            </w:r>
          </w:p>
        </w:tc>
      </w:tr>
      <w:tr w:rsidR="00F63B27" w:rsidRPr="00717868" w14:paraId="6C98923C" w14:textId="77777777" w:rsidTr="5ED74817">
        <w:tc>
          <w:tcPr>
            <w:tcW w:w="1260" w:type="dxa"/>
            <w:vAlign w:val="center"/>
          </w:tcPr>
          <w:p w14:paraId="6C441317" w14:textId="77777777" w:rsidR="00F63B27" w:rsidRPr="00717868" w:rsidRDefault="00F63B27" w:rsidP="002367AB">
            <w:pPr>
              <w:spacing w:line="276" w:lineRule="auto"/>
              <w:rPr>
                <w:rFonts w:cstheme="minorHAnsi"/>
              </w:rPr>
            </w:pPr>
            <w:r>
              <w:rPr>
                <w:rFonts w:cstheme="minorHAnsi"/>
              </w:rPr>
              <w:t>Submitted Costs</w:t>
            </w:r>
          </w:p>
        </w:tc>
        <w:tc>
          <w:tcPr>
            <w:tcW w:w="5842" w:type="dxa"/>
            <w:vAlign w:val="center"/>
          </w:tcPr>
          <w:p w14:paraId="0A9D44CE" w14:textId="77777777" w:rsidR="00F63B27" w:rsidRPr="009719A6" w:rsidRDefault="00F63B27" w:rsidP="002367AB">
            <w:pPr>
              <w:spacing w:line="276" w:lineRule="auto"/>
              <w:rPr>
                <w:rFonts w:cstheme="minorHAnsi"/>
              </w:rPr>
            </w:pPr>
            <w:r>
              <w:rPr>
                <w:rFonts w:cstheme="minorHAnsi"/>
              </w:rPr>
              <w:t>Marks</w:t>
            </w:r>
            <w:r w:rsidRPr="009719A6">
              <w:rPr>
                <w:rFonts w:cstheme="minorHAnsi"/>
              </w:rPr>
              <w:t xml:space="preserve"> will be awarded </w:t>
            </w:r>
            <w:r>
              <w:rPr>
                <w:rFonts w:cstheme="minorHAnsi"/>
              </w:rPr>
              <w:t xml:space="preserve">for costs submitted </w:t>
            </w:r>
            <w:r w:rsidRPr="009719A6">
              <w:rPr>
                <w:rFonts w:cstheme="minorHAnsi"/>
              </w:rPr>
              <w:t>on the following basis:</w:t>
            </w:r>
          </w:p>
          <w:p w14:paraId="4E655898" w14:textId="77777777" w:rsidR="00F63B27" w:rsidRPr="009719A6" w:rsidRDefault="00F63B27" w:rsidP="002367AB">
            <w:pPr>
              <w:spacing w:line="276" w:lineRule="auto"/>
              <w:rPr>
                <w:rFonts w:cstheme="minorHAnsi"/>
              </w:rPr>
            </w:pPr>
          </w:p>
          <w:p w14:paraId="21049D2E" w14:textId="77777777" w:rsidR="00F63B27" w:rsidRDefault="00F63B27" w:rsidP="002367AB">
            <w:pPr>
              <w:spacing w:line="276" w:lineRule="auto"/>
              <w:rPr>
                <w:rFonts w:cstheme="minorHAnsi"/>
              </w:rPr>
            </w:pPr>
            <w:r w:rsidRPr="009719A6">
              <w:rPr>
                <w:rFonts w:cstheme="minorHAnsi"/>
              </w:rPr>
              <w:t xml:space="preserve">The lowest </w:t>
            </w:r>
            <w:r>
              <w:rPr>
                <w:rFonts w:cstheme="minorHAnsi"/>
              </w:rPr>
              <w:t>cost</w:t>
            </w:r>
            <w:r w:rsidRPr="009719A6">
              <w:rPr>
                <w:rFonts w:cstheme="minorHAnsi"/>
              </w:rPr>
              <w:t xml:space="preserve"> submitted will be awarded the highest </w:t>
            </w:r>
            <w:r>
              <w:rPr>
                <w:rFonts w:cstheme="minorHAnsi"/>
              </w:rPr>
              <w:t>mark,</w:t>
            </w:r>
            <w:r w:rsidRPr="009719A6">
              <w:rPr>
                <w:rFonts w:cstheme="minorHAnsi"/>
              </w:rPr>
              <w:t xml:space="preserve"> and all other </w:t>
            </w:r>
            <w:r>
              <w:rPr>
                <w:rFonts w:cstheme="minorHAnsi"/>
              </w:rPr>
              <w:t>Bidders</w:t>
            </w:r>
            <w:r w:rsidRPr="009719A6">
              <w:rPr>
                <w:rFonts w:cstheme="minorHAnsi"/>
              </w:rPr>
              <w:t xml:space="preserve"> will be awarded pro rata </w:t>
            </w:r>
            <w:r>
              <w:rPr>
                <w:rFonts w:cstheme="minorHAnsi"/>
              </w:rPr>
              <w:t>marks</w:t>
            </w:r>
            <w:r w:rsidRPr="009719A6">
              <w:rPr>
                <w:rFonts w:cstheme="minorHAnsi"/>
              </w:rPr>
              <w:t xml:space="preserve"> on the relative competitiveness of their </w:t>
            </w:r>
            <w:r>
              <w:rPr>
                <w:rFonts w:cstheme="minorHAnsi"/>
              </w:rPr>
              <w:t>costs</w:t>
            </w:r>
            <w:r w:rsidRPr="009719A6">
              <w:rPr>
                <w:rFonts w:cstheme="minorHAnsi"/>
              </w:rPr>
              <w:t xml:space="preserve"> compared to the lowest </w:t>
            </w:r>
            <w:r>
              <w:rPr>
                <w:rFonts w:cstheme="minorHAnsi"/>
              </w:rPr>
              <w:t>cost</w:t>
            </w:r>
            <w:r w:rsidRPr="009719A6">
              <w:rPr>
                <w:rFonts w:cstheme="minorHAnsi"/>
              </w:rPr>
              <w:t xml:space="preserve"> </w:t>
            </w:r>
            <w:r>
              <w:rPr>
                <w:rFonts w:cstheme="minorHAnsi"/>
              </w:rPr>
              <w:t>using the following formula:</w:t>
            </w:r>
          </w:p>
          <w:p w14:paraId="490EBF02" w14:textId="77777777" w:rsidR="00F63B27" w:rsidRDefault="00F63B27" w:rsidP="002367AB">
            <w:pPr>
              <w:spacing w:line="276" w:lineRule="auto"/>
              <w:rPr>
                <w:rFonts w:cstheme="minorHAnsi"/>
              </w:rPr>
            </w:pPr>
          </w:p>
          <w:p w14:paraId="55C28CA3" w14:textId="77777777" w:rsidR="00F63B27" w:rsidRPr="00AA08AA" w:rsidRDefault="00F63B27" w:rsidP="002367AB">
            <w:pPr>
              <w:spacing w:line="276" w:lineRule="auto"/>
              <w:jc w:val="center"/>
              <w:rPr>
                <w:rFonts w:cstheme="minorHAnsi"/>
                <w:i/>
                <w:iCs/>
                <w:color w:val="000000"/>
              </w:rPr>
            </w:pPr>
            <w:r w:rsidRPr="00AA08AA">
              <w:rPr>
                <w:rFonts w:cstheme="minorHAnsi"/>
                <w:i/>
                <w:iCs/>
                <w:color w:val="4F80F7"/>
              </w:rPr>
              <w:t xml:space="preserve">Available </w:t>
            </w:r>
            <w:r>
              <w:rPr>
                <w:rFonts w:cstheme="minorHAnsi"/>
                <w:i/>
                <w:iCs/>
                <w:color w:val="4F80F7"/>
              </w:rPr>
              <w:t>m</w:t>
            </w:r>
            <w:r w:rsidRPr="00AA08AA">
              <w:rPr>
                <w:rFonts w:cstheme="minorHAnsi"/>
                <w:i/>
                <w:iCs/>
                <w:color w:val="4F80F7"/>
              </w:rPr>
              <w:t>arks (100) x (</w:t>
            </w:r>
            <w:r>
              <w:rPr>
                <w:rFonts w:cstheme="minorHAnsi"/>
                <w:i/>
                <w:iCs/>
                <w:color w:val="4F80F7"/>
              </w:rPr>
              <w:t>l</w:t>
            </w:r>
            <w:r w:rsidRPr="00AA08AA">
              <w:rPr>
                <w:rFonts w:cstheme="minorHAnsi"/>
                <w:i/>
                <w:iCs/>
                <w:color w:val="4F80F7"/>
              </w:rPr>
              <w:t xml:space="preserve">owest </w:t>
            </w:r>
            <w:r>
              <w:rPr>
                <w:rFonts w:cstheme="minorHAnsi"/>
                <w:i/>
                <w:iCs/>
                <w:color w:val="4F80F7"/>
              </w:rPr>
              <w:t>s</w:t>
            </w:r>
            <w:r w:rsidRPr="00AA08AA">
              <w:rPr>
                <w:rFonts w:cstheme="minorHAnsi"/>
                <w:i/>
                <w:iCs/>
                <w:color w:val="4F80F7"/>
              </w:rPr>
              <w:t xml:space="preserve">ubmitted </w:t>
            </w:r>
            <w:r>
              <w:rPr>
                <w:rFonts w:cstheme="minorHAnsi"/>
                <w:i/>
                <w:iCs/>
                <w:color w:val="4F80F7"/>
              </w:rPr>
              <w:t>c</w:t>
            </w:r>
            <w:r w:rsidRPr="00AA08AA">
              <w:rPr>
                <w:rFonts w:cstheme="minorHAnsi"/>
                <w:i/>
                <w:iCs/>
                <w:color w:val="4F80F7"/>
              </w:rPr>
              <w:t xml:space="preserve">ost </w:t>
            </w:r>
            <w:r w:rsidRPr="00AA08AA">
              <w:rPr>
                <w:rFonts w:ascii="Symbol" w:eastAsia="Symbol" w:hAnsi="Symbol" w:cstheme="minorHAnsi"/>
                <w:i/>
                <w:iCs/>
                <w:color w:val="4F80F7"/>
              </w:rPr>
              <w:t>¸</w:t>
            </w:r>
            <w:r w:rsidRPr="00AA08AA">
              <w:rPr>
                <w:rFonts w:cstheme="minorHAnsi"/>
                <w:i/>
                <w:iCs/>
                <w:color w:val="4F80F7"/>
              </w:rPr>
              <w:t xml:space="preserve"> </w:t>
            </w:r>
            <w:r>
              <w:rPr>
                <w:rFonts w:cstheme="minorHAnsi"/>
                <w:i/>
                <w:iCs/>
                <w:color w:val="4F80F7"/>
              </w:rPr>
              <w:t>b</w:t>
            </w:r>
            <w:r w:rsidRPr="00AA08AA">
              <w:rPr>
                <w:rFonts w:cstheme="minorHAnsi"/>
                <w:i/>
                <w:iCs/>
                <w:color w:val="4F80F7"/>
              </w:rPr>
              <w:t xml:space="preserve">idder </w:t>
            </w:r>
            <w:r>
              <w:rPr>
                <w:rFonts w:cstheme="minorHAnsi"/>
                <w:i/>
                <w:iCs/>
                <w:color w:val="4F80F7"/>
              </w:rPr>
              <w:t>s</w:t>
            </w:r>
            <w:r w:rsidRPr="00AA08AA">
              <w:rPr>
                <w:rFonts w:cstheme="minorHAnsi"/>
                <w:i/>
                <w:iCs/>
                <w:color w:val="4F80F7"/>
              </w:rPr>
              <w:t xml:space="preserve">ubmitted </w:t>
            </w:r>
            <w:r>
              <w:rPr>
                <w:rFonts w:cstheme="minorHAnsi"/>
                <w:i/>
                <w:iCs/>
                <w:color w:val="4F80F7"/>
              </w:rPr>
              <w:t>c</w:t>
            </w:r>
            <w:r w:rsidRPr="00AA08AA">
              <w:rPr>
                <w:rFonts w:cstheme="minorHAnsi"/>
                <w:i/>
                <w:iCs/>
                <w:color w:val="4F80F7"/>
              </w:rPr>
              <w:t>ost)</w:t>
            </w:r>
          </w:p>
        </w:tc>
        <w:tc>
          <w:tcPr>
            <w:tcW w:w="1568" w:type="dxa"/>
            <w:vAlign w:val="center"/>
          </w:tcPr>
          <w:p w14:paraId="239A2C0C" w14:textId="77777777" w:rsidR="00F63B27" w:rsidRPr="00717868" w:rsidRDefault="00F63B27" w:rsidP="002367AB">
            <w:pPr>
              <w:spacing w:line="276" w:lineRule="auto"/>
              <w:jc w:val="center"/>
              <w:rPr>
                <w:rFonts w:cstheme="minorHAnsi"/>
              </w:rPr>
            </w:pPr>
            <w:r>
              <w:rPr>
                <w:rFonts w:cstheme="minorHAnsi"/>
              </w:rPr>
              <w:t>100</w:t>
            </w:r>
          </w:p>
        </w:tc>
      </w:tr>
    </w:tbl>
    <w:p w14:paraId="342F0BBF" w14:textId="77777777" w:rsidR="00F63B27" w:rsidRDefault="00F63B27" w:rsidP="00F63B27">
      <w:pPr>
        <w:spacing w:line="276" w:lineRule="auto"/>
        <w:ind w:left="1440"/>
        <w:rPr>
          <w:rFonts w:cstheme="minorHAnsi"/>
        </w:rPr>
      </w:pPr>
    </w:p>
    <w:p w14:paraId="0BE27349" w14:textId="77777777" w:rsidR="00F63B27" w:rsidRDefault="00F63B27" w:rsidP="00F63B27">
      <w:pPr>
        <w:spacing w:line="276" w:lineRule="auto"/>
        <w:ind w:left="1440"/>
        <w:rPr>
          <w:rFonts w:cstheme="minorHAnsi"/>
          <w:i/>
          <w:iCs/>
        </w:rPr>
      </w:pPr>
    </w:p>
    <w:tbl>
      <w:tblPr>
        <w:tblStyle w:val="TableGrid"/>
        <w:tblW w:w="8658" w:type="dxa"/>
        <w:tblInd w:w="1129" w:type="dxa"/>
        <w:tblLook w:val="04A0" w:firstRow="1" w:lastRow="0" w:firstColumn="1" w:lastColumn="0" w:noHBand="0" w:noVBand="1"/>
      </w:tblPr>
      <w:tblGrid>
        <w:gridCol w:w="1429"/>
        <w:gridCol w:w="1843"/>
        <w:gridCol w:w="2551"/>
        <w:gridCol w:w="2835"/>
      </w:tblGrid>
      <w:tr w:rsidR="00F63B27" w:rsidRPr="009903E4" w14:paraId="31D9C521" w14:textId="77777777" w:rsidTr="002367AB">
        <w:tc>
          <w:tcPr>
            <w:tcW w:w="1429" w:type="dxa"/>
            <w:vAlign w:val="center"/>
          </w:tcPr>
          <w:p w14:paraId="75A83759" w14:textId="77777777" w:rsidR="00F63B27" w:rsidRPr="009903E4" w:rsidRDefault="00F63B27" w:rsidP="002367AB">
            <w:pPr>
              <w:spacing w:line="276" w:lineRule="auto"/>
              <w:jc w:val="center"/>
              <w:rPr>
                <w:rFonts w:cstheme="minorHAnsi"/>
                <w:b/>
                <w:bCs/>
              </w:rPr>
            </w:pPr>
          </w:p>
        </w:tc>
        <w:tc>
          <w:tcPr>
            <w:tcW w:w="1843" w:type="dxa"/>
            <w:vAlign w:val="center"/>
          </w:tcPr>
          <w:p w14:paraId="516045B2" w14:textId="77777777" w:rsidR="00F63B27" w:rsidRPr="009903E4" w:rsidRDefault="00F63B27" w:rsidP="002367AB">
            <w:pPr>
              <w:spacing w:line="276" w:lineRule="auto"/>
              <w:jc w:val="center"/>
              <w:rPr>
                <w:rFonts w:cstheme="minorHAnsi"/>
                <w:b/>
                <w:bCs/>
              </w:rPr>
            </w:pPr>
            <w:r>
              <w:rPr>
                <w:rFonts w:cstheme="minorHAnsi"/>
                <w:b/>
                <w:bCs/>
              </w:rPr>
              <w:t>Submitted Price £</w:t>
            </w:r>
          </w:p>
        </w:tc>
        <w:tc>
          <w:tcPr>
            <w:tcW w:w="2551" w:type="dxa"/>
            <w:vAlign w:val="center"/>
          </w:tcPr>
          <w:p w14:paraId="755E9AF2" w14:textId="77777777" w:rsidR="00F63B27" w:rsidRPr="009903E4" w:rsidRDefault="00F63B27" w:rsidP="002367AB">
            <w:pPr>
              <w:spacing w:line="276" w:lineRule="auto"/>
              <w:jc w:val="center"/>
              <w:rPr>
                <w:rFonts w:cstheme="minorHAnsi"/>
                <w:b/>
                <w:bCs/>
              </w:rPr>
            </w:pPr>
            <w:r w:rsidRPr="009903E4">
              <w:rPr>
                <w:rFonts w:cstheme="minorHAnsi"/>
                <w:b/>
                <w:bCs/>
              </w:rPr>
              <w:t xml:space="preserve">Maximum </w:t>
            </w:r>
            <w:r>
              <w:rPr>
                <w:rFonts w:cstheme="minorHAnsi"/>
                <w:b/>
                <w:bCs/>
              </w:rPr>
              <w:t>A</w:t>
            </w:r>
            <w:r w:rsidRPr="009903E4">
              <w:rPr>
                <w:rFonts w:cstheme="minorHAnsi"/>
                <w:b/>
                <w:bCs/>
              </w:rPr>
              <w:t>vailable</w:t>
            </w:r>
            <w:r>
              <w:rPr>
                <w:rFonts w:cstheme="minorHAnsi"/>
                <w:b/>
                <w:bCs/>
              </w:rPr>
              <w:t xml:space="preserve"> Marks</w:t>
            </w:r>
          </w:p>
        </w:tc>
        <w:tc>
          <w:tcPr>
            <w:tcW w:w="2835" w:type="dxa"/>
            <w:vAlign w:val="center"/>
          </w:tcPr>
          <w:p w14:paraId="496B3B96" w14:textId="77777777" w:rsidR="00F63B27" w:rsidRPr="009903E4" w:rsidRDefault="00F63B27" w:rsidP="002367AB">
            <w:pPr>
              <w:spacing w:line="276" w:lineRule="auto"/>
              <w:jc w:val="center"/>
              <w:rPr>
                <w:rFonts w:cstheme="minorHAnsi"/>
                <w:b/>
                <w:bCs/>
              </w:rPr>
            </w:pPr>
            <w:r w:rsidRPr="00EF64D4">
              <w:rPr>
                <w:rFonts w:cstheme="minorHAnsi"/>
                <w:b/>
                <w:bCs/>
              </w:rPr>
              <w:t>Marks awarded</w:t>
            </w:r>
          </w:p>
        </w:tc>
      </w:tr>
      <w:tr w:rsidR="00F63B27" w:rsidRPr="009903E4" w14:paraId="11C47C74" w14:textId="77777777" w:rsidTr="002367AB">
        <w:tc>
          <w:tcPr>
            <w:tcW w:w="1429" w:type="dxa"/>
          </w:tcPr>
          <w:p w14:paraId="0A6C6273" w14:textId="77777777" w:rsidR="00F63B27" w:rsidRPr="009903E4" w:rsidRDefault="00F63B27" w:rsidP="002367AB">
            <w:pPr>
              <w:spacing w:line="276" w:lineRule="auto"/>
              <w:rPr>
                <w:rFonts w:cstheme="minorHAnsi"/>
              </w:rPr>
            </w:pPr>
            <w:r>
              <w:rPr>
                <w:rFonts w:cstheme="minorHAnsi"/>
              </w:rPr>
              <w:t>Bidder A</w:t>
            </w:r>
          </w:p>
        </w:tc>
        <w:tc>
          <w:tcPr>
            <w:tcW w:w="1843" w:type="dxa"/>
            <w:vAlign w:val="center"/>
          </w:tcPr>
          <w:p w14:paraId="7B0998FC" w14:textId="77777777" w:rsidR="00F63B27" w:rsidRPr="009903E4" w:rsidRDefault="00F63B27" w:rsidP="002367AB">
            <w:pPr>
              <w:spacing w:line="276" w:lineRule="auto"/>
              <w:jc w:val="center"/>
              <w:rPr>
                <w:rFonts w:cstheme="minorHAnsi"/>
              </w:rPr>
            </w:pPr>
            <w:r>
              <w:rPr>
                <w:rFonts w:cstheme="minorHAnsi"/>
              </w:rPr>
              <w:t>£50,000</w:t>
            </w:r>
          </w:p>
        </w:tc>
        <w:tc>
          <w:tcPr>
            <w:tcW w:w="2551" w:type="dxa"/>
            <w:vAlign w:val="center"/>
          </w:tcPr>
          <w:p w14:paraId="3A3EF921" w14:textId="77777777" w:rsidR="00F63B27" w:rsidRPr="009903E4" w:rsidRDefault="00F63B27" w:rsidP="002367AB">
            <w:pPr>
              <w:spacing w:line="276" w:lineRule="auto"/>
              <w:jc w:val="center"/>
              <w:rPr>
                <w:rFonts w:cstheme="minorHAnsi"/>
              </w:rPr>
            </w:pPr>
            <w:r>
              <w:rPr>
                <w:rFonts w:cstheme="minorHAnsi"/>
              </w:rPr>
              <w:t>100</w:t>
            </w:r>
          </w:p>
        </w:tc>
        <w:tc>
          <w:tcPr>
            <w:tcW w:w="2835" w:type="dxa"/>
            <w:vAlign w:val="center"/>
          </w:tcPr>
          <w:p w14:paraId="1CE82AF3" w14:textId="77777777" w:rsidR="00F63B27" w:rsidRPr="00EF64D4" w:rsidRDefault="00F63B27" w:rsidP="002367AB">
            <w:pPr>
              <w:spacing w:line="276" w:lineRule="auto"/>
              <w:jc w:val="center"/>
              <w:rPr>
                <w:rFonts w:cstheme="minorHAnsi"/>
              </w:rPr>
            </w:pPr>
            <w:r>
              <w:rPr>
                <w:rFonts w:cstheme="minorHAnsi"/>
              </w:rPr>
              <w:t>100</w:t>
            </w:r>
          </w:p>
        </w:tc>
      </w:tr>
      <w:tr w:rsidR="00F63B27" w:rsidRPr="009903E4" w14:paraId="6DA94FB7" w14:textId="77777777" w:rsidTr="002367AB">
        <w:tc>
          <w:tcPr>
            <w:tcW w:w="1429" w:type="dxa"/>
          </w:tcPr>
          <w:p w14:paraId="39E72F41" w14:textId="77777777" w:rsidR="00F63B27" w:rsidRPr="009903E4" w:rsidRDefault="00F63B27" w:rsidP="002367AB">
            <w:pPr>
              <w:spacing w:line="276" w:lineRule="auto"/>
              <w:rPr>
                <w:rFonts w:cstheme="minorHAnsi"/>
              </w:rPr>
            </w:pPr>
            <w:r>
              <w:rPr>
                <w:rFonts w:cstheme="minorHAnsi"/>
              </w:rPr>
              <w:t>Bidder B</w:t>
            </w:r>
          </w:p>
        </w:tc>
        <w:tc>
          <w:tcPr>
            <w:tcW w:w="1843" w:type="dxa"/>
          </w:tcPr>
          <w:p w14:paraId="750CA488" w14:textId="77777777" w:rsidR="00F63B27" w:rsidRPr="009903E4" w:rsidRDefault="00F63B27" w:rsidP="002367AB">
            <w:pPr>
              <w:spacing w:line="276" w:lineRule="auto"/>
              <w:jc w:val="center"/>
              <w:rPr>
                <w:rFonts w:cstheme="minorHAnsi"/>
              </w:rPr>
            </w:pPr>
            <w:r>
              <w:rPr>
                <w:rFonts w:cstheme="minorHAnsi"/>
              </w:rPr>
              <w:t>£60,000</w:t>
            </w:r>
          </w:p>
        </w:tc>
        <w:tc>
          <w:tcPr>
            <w:tcW w:w="2551" w:type="dxa"/>
          </w:tcPr>
          <w:p w14:paraId="0110E009" w14:textId="77777777" w:rsidR="00F63B27" w:rsidRPr="009903E4" w:rsidRDefault="00F63B27" w:rsidP="002367AB">
            <w:pPr>
              <w:spacing w:line="276" w:lineRule="auto"/>
              <w:jc w:val="center"/>
              <w:rPr>
                <w:rFonts w:cstheme="minorHAnsi"/>
              </w:rPr>
            </w:pPr>
            <w:r>
              <w:rPr>
                <w:rFonts w:cstheme="minorHAnsi"/>
              </w:rPr>
              <w:t>100</w:t>
            </w:r>
          </w:p>
        </w:tc>
        <w:tc>
          <w:tcPr>
            <w:tcW w:w="2835" w:type="dxa"/>
          </w:tcPr>
          <w:p w14:paraId="7F6F58A9" w14:textId="77777777" w:rsidR="00F63B27" w:rsidRPr="00EF64D4" w:rsidRDefault="00F63B27" w:rsidP="002367AB">
            <w:pPr>
              <w:spacing w:line="276" w:lineRule="auto"/>
              <w:jc w:val="center"/>
              <w:rPr>
                <w:rFonts w:cstheme="minorHAnsi"/>
              </w:rPr>
            </w:pPr>
            <w:r>
              <w:rPr>
                <w:rFonts w:cstheme="minorHAnsi"/>
              </w:rPr>
              <w:t>83.33</w:t>
            </w:r>
          </w:p>
        </w:tc>
      </w:tr>
      <w:tr w:rsidR="00F63B27" w:rsidRPr="009903E4" w14:paraId="7F9F8C87" w14:textId="77777777" w:rsidTr="002367AB">
        <w:tc>
          <w:tcPr>
            <w:tcW w:w="1429" w:type="dxa"/>
          </w:tcPr>
          <w:p w14:paraId="136422AF" w14:textId="77777777" w:rsidR="00F63B27" w:rsidRPr="009903E4" w:rsidRDefault="00F63B27" w:rsidP="002367AB">
            <w:pPr>
              <w:spacing w:line="276" w:lineRule="auto"/>
              <w:rPr>
                <w:rFonts w:cstheme="minorHAnsi"/>
              </w:rPr>
            </w:pPr>
            <w:r>
              <w:rPr>
                <w:rFonts w:cstheme="minorHAnsi"/>
              </w:rPr>
              <w:t>Bidder C</w:t>
            </w:r>
          </w:p>
        </w:tc>
        <w:tc>
          <w:tcPr>
            <w:tcW w:w="1843" w:type="dxa"/>
          </w:tcPr>
          <w:p w14:paraId="03934927" w14:textId="77777777" w:rsidR="00F63B27" w:rsidRPr="009903E4" w:rsidRDefault="00F63B27" w:rsidP="002367AB">
            <w:pPr>
              <w:spacing w:line="276" w:lineRule="auto"/>
              <w:jc w:val="center"/>
              <w:rPr>
                <w:rFonts w:cstheme="minorHAnsi"/>
              </w:rPr>
            </w:pPr>
            <w:r>
              <w:rPr>
                <w:rFonts w:cstheme="minorHAnsi"/>
              </w:rPr>
              <w:t>£65,000</w:t>
            </w:r>
          </w:p>
        </w:tc>
        <w:tc>
          <w:tcPr>
            <w:tcW w:w="2551" w:type="dxa"/>
          </w:tcPr>
          <w:p w14:paraId="446A0BC6" w14:textId="77777777" w:rsidR="00F63B27" w:rsidRPr="009903E4" w:rsidRDefault="00F63B27" w:rsidP="002367AB">
            <w:pPr>
              <w:spacing w:line="276" w:lineRule="auto"/>
              <w:jc w:val="center"/>
              <w:rPr>
                <w:rFonts w:cstheme="minorHAnsi"/>
              </w:rPr>
            </w:pPr>
            <w:r>
              <w:rPr>
                <w:rFonts w:cstheme="minorHAnsi"/>
              </w:rPr>
              <w:t>100</w:t>
            </w:r>
          </w:p>
        </w:tc>
        <w:tc>
          <w:tcPr>
            <w:tcW w:w="2835" w:type="dxa"/>
          </w:tcPr>
          <w:p w14:paraId="33528405" w14:textId="77777777" w:rsidR="00F63B27" w:rsidRPr="00EF64D4" w:rsidRDefault="00F63B27" w:rsidP="002367AB">
            <w:pPr>
              <w:spacing w:line="276" w:lineRule="auto"/>
              <w:jc w:val="center"/>
              <w:rPr>
                <w:rFonts w:cstheme="minorHAnsi"/>
              </w:rPr>
            </w:pPr>
            <w:r>
              <w:rPr>
                <w:rFonts w:cstheme="minorHAnsi"/>
              </w:rPr>
              <w:t>76.92</w:t>
            </w:r>
          </w:p>
        </w:tc>
      </w:tr>
    </w:tbl>
    <w:p w14:paraId="22788418" w14:textId="77777777" w:rsidR="009E676B" w:rsidRDefault="009E676B" w:rsidP="009E676B">
      <w:pPr>
        <w:spacing w:line="276" w:lineRule="auto"/>
        <w:rPr>
          <w:rFonts w:cstheme="minorHAnsi"/>
        </w:rPr>
      </w:pPr>
    </w:p>
    <w:p w14:paraId="57E7997E" w14:textId="04705900" w:rsidR="00F63B27" w:rsidRDefault="009E676B" w:rsidP="009E676B">
      <w:pPr>
        <w:tabs>
          <w:tab w:val="left" w:pos="1134"/>
        </w:tabs>
        <w:spacing w:line="276" w:lineRule="auto"/>
        <w:rPr>
          <w:rFonts w:cstheme="minorHAnsi"/>
        </w:rPr>
      </w:pPr>
      <w:r>
        <w:rPr>
          <w:rFonts w:cstheme="minorHAnsi"/>
        </w:rPr>
        <w:tab/>
      </w:r>
      <w:r w:rsidR="00F63B27">
        <w:rPr>
          <w:rFonts w:cstheme="minorHAnsi"/>
        </w:rPr>
        <w:t>A final cost score is determined by applying the following formula:</w:t>
      </w:r>
    </w:p>
    <w:p w14:paraId="6AF86CB5" w14:textId="77777777" w:rsidR="00F63B27" w:rsidRDefault="00F63B27" w:rsidP="00F63B27">
      <w:pPr>
        <w:spacing w:line="276" w:lineRule="auto"/>
        <w:ind w:left="1440"/>
        <w:rPr>
          <w:rFonts w:cstheme="minorHAnsi"/>
        </w:rPr>
      </w:pPr>
    </w:p>
    <w:p w14:paraId="576F5835" w14:textId="38706EAA" w:rsidR="00F63B27" w:rsidRPr="00AA08AA" w:rsidRDefault="00F63B27" w:rsidP="00F63B27">
      <w:pPr>
        <w:spacing w:line="276" w:lineRule="auto"/>
        <w:ind w:left="1440"/>
        <w:jc w:val="center"/>
        <w:rPr>
          <w:rFonts w:cstheme="minorHAnsi"/>
          <w:i/>
          <w:iCs/>
          <w:color w:val="4F80F7"/>
        </w:rPr>
      </w:pPr>
      <w:r w:rsidRPr="00AA08AA">
        <w:rPr>
          <w:rFonts w:cstheme="minorHAnsi"/>
          <w:i/>
          <w:iCs/>
          <w:color w:val="4F80F7"/>
        </w:rPr>
        <w:t xml:space="preserve">Marks </w:t>
      </w:r>
      <w:r w:rsidR="009E676B">
        <w:rPr>
          <w:rFonts w:cstheme="minorHAnsi"/>
          <w:i/>
          <w:iCs/>
          <w:color w:val="4F80F7"/>
        </w:rPr>
        <w:t>a</w:t>
      </w:r>
      <w:r w:rsidRPr="00AA08AA">
        <w:rPr>
          <w:rFonts w:cstheme="minorHAnsi"/>
          <w:i/>
          <w:iCs/>
          <w:color w:val="4F80F7"/>
        </w:rPr>
        <w:t xml:space="preserve">warded x </w:t>
      </w:r>
      <w:r w:rsidR="009E676B">
        <w:rPr>
          <w:rFonts w:cstheme="minorHAnsi"/>
          <w:i/>
          <w:iCs/>
          <w:color w:val="4F80F7"/>
        </w:rPr>
        <w:t>c</w:t>
      </w:r>
      <w:r w:rsidRPr="00AA08AA">
        <w:rPr>
          <w:rFonts w:cstheme="minorHAnsi"/>
          <w:i/>
          <w:iCs/>
          <w:color w:val="4F80F7"/>
        </w:rPr>
        <w:t xml:space="preserve">ost </w:t>
      </w:r>
      <w:r w:rsidR="009E676B">
        <w:rPr>
          <w:rFonts w:cstheme="minorHAnsi"/>
          <w:i/>
          <w:iCs/>
          <w:color w:val="4F80F7"/>
        </w:rPr>
        <w:t>s</w:t>
      </w:r>
      <w:r w:rsidRPr="00AA08AA">
        <w:rPr>
          <w:rFonts w:cstheme="minorHAnsi"/>
          <w:i/>
          <w:iCs/>
          <w:color w:val="4F80F7"/>
        </w:rPr>
        <w:t>core</w:t>
      </w:r>
      <w:r w:rsidR="009E676B">
        <w:rPr>
          <w:rFonts w:cstheme="minorHAnsi"/>
          <w:i/>
          <w:iCs/>
          <w:color w:val="4F80F7"/>
        </w:rPr>
        <w:t xml:space="preserve"> w</w:t>
      </w:r>
      <w:r w:rsidRPr="00AA08AA">
        <w:rPr>
          <w:rFonts w:cstheme="minorHAnsi"/>
          <w:i/>
          <w:iCs/>
          <w:color w:val="4F80F7"/>
        </w:rPr>
        <w:t xml:space="preserve">eighting % = </w:t>
      </w:r>
      <w:r w:rsidR="009E676B">
        <w:rPr>
          <w:rFonts w:cstheme="minorHAnsi"/>
          <w:i/>
          <w:iCs/>
          <w:color w:val="4F80F7"/>
        </w:rPr>
        <w:t>c</w:t>
      </w:r>
      <w:r w:rsidRPr="00AA08AA">
        <w:rPr>
          <w:rFonts w:cstheme="minorHAnsi"/>
          <w:i/>
          <w:iCs/>
          <w:color w:val="4F80F7"/>
        </w:rPr>
        <w:t xml:space="preserve">ost </w:t>
      </w:r>
      <w:r w:rsidR="009E676B">
        <w:rPr>
          <w:rFonts w:cstheme="minorHAnsi"/>
          <w:i/>
          <w:iCs/>
          <w:color w:val="4F80F7"/>
        </w:rPr>
        <w:t>s</w:t>
      </w:r>
      <w:r w:rsidRPr="00AA08AA">
        <w:rPr>
          <w:rFonts w:cstheme="minorHAnsi"/>
          <w:i/>
          <w:iCs/>
          <w:color w:val="4F80F7"/>
        </w:rPr>
        <w:t>core</w:t>
      </w:r>
    </w:p>
    <w:p w14:paraId="6597DE37" w14:textId="619809DA" w:rsidR="00F63B27" w:rsidRDefault="00F63B27" w:rsidP="00023189"/>
    <w:tbl>
      <w:tblPr>
        <w:tblW w:w="8715" w:type="dxa"/>
        <w:tblInd w:w="1056" w:type="dxa"/>
        <w:tblLook w:val="04A0" w:firstRow="1" w:lastRow="0" w:firstColumn="1" w:lastColumn="0" w:noHBand="0" w:noVBand="1"/>
      </w:tblPr>
      <w:tblGrid>
        <w:gridCol w:w="1486"/>
        <w:gridCol w:w="2409"/>
        <w:gridCol w:w="2410"/>
        <w:gridCol w:w="2410"/>
      </w:tblGrid>
      <w:tr w:rsidR="009E676B" w:rsidRPr="009E676B" w14:paraId="4D83FBE3" w14:textId="77777777" w:rsidTr="009E676B">
        <w:trPr>
          <w:trHeight w:val="61"/>
        </w:trPr>
        <w:tc>
          <w:tcPr>
            <w:tcW w:w="14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683777" w14:textId="77777777" w:rsidR="009E676B" w:rsidRPr="009E676B" w:rsidRDefault="009E676B" w:rsidP="009E676B">
            <w:pPr>
              <w:rPr>
                <w:rFonts w:ascii="Calibri" w:hAnsi="Calibri" w:cs="Calibri"/>
                <w:b/>
                <w:bCs/>
                <w:color w:val="000000"/>
                <w:szCs w:val="20"/>
              </w:rPr>
            </w:pPr>
            <w:r w:rsidRPr="009E676B">
              <w:rPr>
                <w:rFonts w:ascii="Calibri" w:hAnsi="Calibri" w:cstheme="minorHAnsi"/>
                <w:b/>
                <w:bCs/>
                <w:color w:val="000000"/>
                <w:szCs w:val="20"/>
              </w:rPr>
              <w:t> </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4B249D7B" w14:textId="77777777" w:rsidR="009E676B" w:rsidRPr="009E676B" w:rsidRDefault="009E676B" w:rsidP="009E676B">
            <w:pPr>
              <w:jc w:val="center"/>
              <w:rPr>
                <w:rFonts w:ascii="Calibri" w:hAnsi="Calibri" w:cs="Calibri"/>
                <w:b/>
                <w:bCs/>
                <w:color w:val="000000"/>
                <w:szCs w:val="20"/>
              </w:rPr>
            </w:pPr>
            <w:r w:rsidRPr="009E676B">
              <w:rPr>
                <w:rFonts w:ascii="Calibri" w:hAnsi="Calibri" w:cstheme="minorHAnsi"/>
                <w:b/>
                <w:bCs/>
                <w:color w:val="000000"/>
                <w:szCs w:val="20"/>
              </w:rPr>
              <w:t>Marks awarded</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56BA5BF0" w14:textId="77777777" w:rsidR="009E676B" w:rsidRPr="009E676B" w:rsidRDefault="009E676B" w:rsidP="009E676B">
            <w:pPr>
              <w:jc w:val="center"/>
              <w:rPr>
                <w:rFonts w:ascii="Calibri" w:hAnsi="Calibri" w:cs="Calibri"/>
                <w:b/>
                <w:bCs/>
                <w:color w:val="000000"/>
                <w:szCs w:val="20"/>
              </w:rPr>
            </w:pPr>
            <w:r w:rsidRPr="009E676B">
              <w:rPr>
                <w:rFonts w:ascii="Calibri" w:hAnsi="Calibri" w:cstheme="minorHAnsi"/>
                <w:b/>
                <w:bCs/>
                <w:color w:val="000000"/>
                <w:szCs w:val="20"/>
              </w:rPr>
              <w:t>Cost Score Weighting</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4665E160" w14:textId="77777777" w:rsidR="009E676B" w:rsidRPr="009E676B" w:rsidRDefault="009E676B" w:rsidP="009E676B">
            <w:pPr>
              <w:jc w:val="center"/>
              <w:rPr>
                <w:rFonts w:ascii="Calibri" w:hAnsi="Calibri" w:cs="Calibri"/>
                <w:b/>
                <w:bCs/>
                <w:color w:val="000000"/>
                <w:szCs w:val="20"/>
              </w:rPr>
            </w:pPr>
            <w:r w:rsidRPr="009E676B">
              <w:rPr>
                <w:rFonts w:ascii="Calibri" w:hAnsi="Calibri" w:cstheme="minorHAnsi"/>
                <w:b/>
                <w:bCs/>
                <w:color w:val="000000"/>
                <w:szCs w:val="20"/>
              </w:rPr>
              <w:t>Cost Score Awarded</w:t>
            </w:r>
          </w:p>
        </w:tc>
      </w:tr>
      <w:tr w:rsidR="009E676B" w:rsidRPr="009E676B" w14:paraId="70E432B6" w14:textId="77777777" w:rsidTr="009E676B">
        <w:trPr>
          <w:trHeight w:val="61"/>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5B630F67" w14:textId="77777777" w:rsidR="009E676B" w:rsidRPr="009E676B" w:rsidRDefault="009E676B" w:rsidP="009E676B">
            <w:pPr>
              <w:rPr>
                <w:rFonts w:ascii="Calibri" w:hAnsi="Calibri" w:cs="Calibri"/>
                <w:color w:val="000000"/>
                <w:szCs w:val="20"/>
              </w:rPr>
            </w:pPr>
            <w:r w:rsidRPr="009E676B">
              <w:rPr>
                <w:rFonts w:ascii="Calibri" w:hAnsi="Calibri" w:cstheme="minorHAnsi"/>
                <w:color w:val="000000"/>
                <w:szCs w:val="20"/>
              </w:rPr>
              <w:t>Bidder A</w:t>
            </w:r>
          </w:p>
        </w:tc>
        <w:tc>
          <w:tcPr>
            <w:tcW w:w="2409" w:type="dxa"/>
            <w:tcBorders>
              <w:top w:val="nil"/>
              <w:left w:val="nil"/>
              <w:bottom w:val="single" w:sz="8" w:space="0" w:color="auto"/>
              <w:right w:val="single" w:sz="8" w:space="0" w:color="auto"/>
            </w:tcBorders>
            <w:shd w:val="clear" w:color="auto" w:fill="auto"/>
            <w:vAlign w:val="center"/>
            <w:hideMark/>
          </w:tcPr>
          <w:p w14:paraId="0252B764"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100</w:t>
            </w:r>
          </w:p>
        </w:tc>
        <w:tc>
          <w:tcPr>
            <w:tcW w:w="2410" w:type="dxa"/>
            <w:tcBorders>
              <w:top w:val="nil"/>
              <w:left w:val="nil"/>
              <w:bottom w:val="single" w:sz="8" w:space="0" w:color="auto"/>
              <w:right w:val="single" w:sz="8" w:space="0" w:color="auto"/>
            </w:tcBorders>
            <w:shd w:val="clear" w:color="auto" w:fill="auto"/>
            <w:vAlign w:val="center"/>
            <w:hideMark/>
          </w:tcPr>
          <w:p w14:paraId="3A522A0E"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40%</w:t>
            </w:r>
          </w:p>
        </w:tc>
        <w:tc>
          <w:tcPr>
            <w:tcW w:w="2410" w:type="dxa"/>
            <w:tcBorders>
              <w:top w:val="nil"/>
              <w:left w:val="nil"/>
              <w:bottom w:val="single" w:sz="8" w:space="0" w:color="auto"/>
              <w:right w:val="single" w:sz="8" w:space="0" w:color="auto"/>
            </w:tcBorders>
            <w:shd w:val="clear" w:color="auto" w:fill="auto"/>
            <w:vAlign w:val="center"/>
            <w:hideMark/>
          </w:tcPr>
          <w:p w14:paraId="7D2433CD"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40</w:t>
            </w:r>
          </w:p>
        </w:tc>
      </w:tr>
      <w:tr w:rsidR="009E676B" w:rsidRPr="009E676B" w14:paraId="45BD262F" w14:textId="77777777" w:rsidTr="009E676B">
        <w:trPr>
          <w:trHeight w:val="61"/>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7D7A580A" w14:textId="77777777" w:rsidR="009E676B" w:rsidRPr="009E676B" w:rsidRDefault="009E676B" w:rsidP="009E676B">
            <w:pPr>
              <w:rPr>
                <w:rFonts w:ascii="Calibri" w:hAnsi="Calibri" w:cs="Calibri"/>
                <w:color w:val="000000"/>
                <w:szCs w:val="20"/>
              </w:rPr>
            </w:pPr>
            <w:r w:rsidRPr="009E676B">
              <w:rPr>
                <w:rFonts w:ascii="Calibri" w:hAnsi="Calibri" w:cstheme="minorHAnsi"/>
                <w:color w:val="000000"/>
                <w:szCs w:val="20"/>
              </w:rPr>
              <w:t>Bidder B</w:t>
            </w:r>
          </w:p>
        </w:tc>
        <w:tc>
          <w:tcPr>
            <w:tcW w:w="2409" w:type="dxa"/>
            <w:tcBorders>
              <w:top w:val="nil"/>
              <w:left w:val="nil"/>
              <w:bottom w:val="single" w:sz="8" w:space="0" w:color="auto"/>
              <w:right w:val="single" w:sz="8" w:space="0" w:color="auto"/>
            </w:tcBorders>
            <w:shd w:val="clear" w:color="auto" w:fill="auto"/>
            <w:vAlign w:val="center"/>
            <w:hideMark/>
          </w:tcPr>
          <w:p w14:paraId="59907570"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83.33</w:t>
            </w:r>
          </w:p>
        </w:tc>
        <w:tc>
          <w:tcPr>
            <w:tcW w:w="2410" w:type="dxa"/>
            <w:tcBorders>
              <w:top w:val="nil"/>
              <w:left w:val="nil"/>
              <w:bottom w:val="single" w:sz="8" w:space="0" w:color="auto"/>
              <w:right w:val="single" w:sz="8" w:space="0" w:color="auto"/>
            </w:tcBorders>
            <w:shd w:val="clear" w:color="auto" w:fill="auto"/>
            <w:vAlign w:val="center"/>
            <w:hideMark/>
          </w:tcPr>
          <w:p w14:paraId="15F622A1"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40%</w:t>
            </w:r>
          </w:p>
        </w:tc>
        <w:tc>
          <w:tcPr>
            <w:tcW w:w="2410" w:type="dxa"/>
            <w:tcBorders>
              <w:top w:val="nil"/>
              <w:left w:val="nil"/>
              <w:bottom w:val="single" w:sz="8" w:space="0" w:color="auto"/>
              <w:right w:val="single" w:sz="8" w:space="0" w:color="auto"/>
            </w:tcBorders>
            <w:shd w:val="clear" w:color="auto" w:fill="auto"/>
            <w:vAlign w:val="center"/>
            <w:hideMark/>
          </w:tcPr>
          <w:p w14:paraId="1E9B4545"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33.332</w:t>
            </w:r>
          </w:p>
        </w:tc>
      </w:tr>
      <w:tr w:rsidR="009E676B" w:rsidRPr="009E676B" w14:paraId="79DBA579" w14:textId="77777777" w:rsidTr="009E676B">
        <w:trPr>
          <w:trHeight w:val="61"/>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046EA2CF" w14:textId="77777777" w:rsidR="009E676B" w:rsidRPr="009E676B" w:rsidRDefault="009E676B" w:rsidP="009E676B">
            <w:pPr>
              <w:rPr>
                <w:rFonts w:ascii="Calibri" w:hAnsi="Calibri" w:cs="Calibri"/>
                <w:color w:val="000000"/>
                <w:szCs w:val="20"/>
              </w:rPr>
            </w:pPr>
            <w:r w:rsidRPr="009E676B">
              <w:rPr>
                <w:rFonts w:ascii="Calibri" w:hAnsi="Calibri" w:cstheme="minorHAnsi"/>
                <w:color w:val="000000"/>
                <w:szCs w:val="20"/>
              </w:rPr>
              <w:t>Bidder C</w:t>
            </w:r>
          </w:p>
        </w:tc>
        <w:tc>
          <w:tcPr>
            <w:tcW w:w="2409" w:type="dxa"/>
            <w:tcBorders>
              <w:top w:val="nil"/>
              <w:left w:val="nil"/>
              <w:bottom w:val="single" w:sz="8" w:space="0" w:color="auto"/>
              <w:right w:val="single" w:sz="8" w:space="0" w:color="auto"/>
            </w:tcBorders>
            <w:shd w:val="clear" w:color="auto" w:fill="auto"/>
            <w:vAlign w:val="center"/>
            <w:hideMark/>
          </w:tcPr>
          <w:p w14:paraId="2368887D"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76.92</w:t>
            </w:r>
          </w:p>
        </w:tc>
        <w:tc>
          <w:tcPr>
            <w:tcW w:w="2410" w:type="dxa"/>
            <w:tcBorders>
              <w:top w:val="nil"/>
              <w:left w:val="nil"/>
              <w:bottom w:val="single" w:sz="8" w:space="0" w:color="auto"/>
              <w:right w:val="single" w:sz="8" w:space="0" w:color="auto"/>
            </w:tcBorders>
            <w:shd w:val="clear" w:color="auto" w:fill="auto"/>
            <w:vAlign w:val="center"/>
            <w:hideMark/>
          </w:tcPr>
          <w:p w14:paraId="7C48DA1B"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40%</w:t>
            </w:r>
          </w:p>
        </w:tc>
        <w:tc>
          <w:tcPr>
            <w:tcW w:w="2410" w:type="dxa"/>
            <w:tcBorders>
              <w:top w:val="nil"/>
              <w:left w:val="nil"/>
              <w:bottom w:val="single" w:sz="8" w:space="0" w:color="auto"/>
              <w:right w:val="single" w:sz="8" w:space="0" w:color="auto"/>
            </w:tcBorders>
            <w:shd w:val="clear" w:color="auto" w:fill="auto"/>
            <w:vAlign w:val="center"/>
            <w:hideMark/>
          </w:tcPr>
          <w:p w14:paraId="11E42E94" w14:textId="77777777" w:rsidR="009E676B" w:rsidRPr="009E676B" w:rsidRDefault="009E676B" w:rsidP="009E676B">
            <w:pPr>
              <w:jc w:val="center"/>
              <w:rPr>
                <w:rFonts w:ascii="Calibri" w:hAnsi="Calibri" w:cs="Calibri"/>
                <w:color w:val="000000"/>
                <w:szCs w:val="20"/>
              </w:rPr>
            </w:pPr>
            <w:r w:rsidRPr="009E676B">
              <w:rPr>
                <w:rFonts w:ascii="Calibri" w:hAnsi="Calibri" w:cstheme="minorHAnsi"/>
                <w:color w:val="000000"/>
                <w:szCs w:val="20"/>
              </w:rPr>
              <w:t>30.768</w:t>
            </w:r>
          </w:p>
        </w:tc>
      </w:tr>
    </w:tbl>
    <w:p w14:paraId="33957B28" w14:textId="77777777" w:rsidR="00F63B27" w:rsidRDefault="00F63B27" w:rsidP="00023189">
      <w:pPr>
        <w:spacing w:line="276" w:lineRule="auto"/>
        <w:rPr>
          <w:rFonts w:cstheme="minorHAnsi"/>
          <w:i/>
          <w:iCs/>
        </w:rPr>
      </w:pPr>
    </w:p>
    <w:p w14:paraId="08A27910" w14:textId="77777777" w:rsidR="00F63B27" w:rsidRPr="003605A6" w:rsidRDefault="00F63B27" w:rsidP="00AB6AE2">
      <w:pPr>
        <w:pStyle w:val="Level2"/>
      </w:pPr>
      <w:bookmarkStart w:id="195" w:name="_Toc86829857"/>
      <w:r w:rsidRPr="003605A6">
        <w:t>Further competition award criteria</w:t>
      </w:r>
      <w:bookmarkEnd w:id="195"/>
    </w:p>
    <w:p w14:paraId="5C0B11E2" w14:textId="77777777" w:rsidR="00F63B27" w:rsidRPr="00736F69" w:rsidRDefault="00F63B27" w:rsidP="00F63B27">
      <w:pPr>
        <w:spacing w:line="276" w:lineRule="auto"/>
        <w:ind w:left="1077"/>
        <w:jc w:val="both"/>
        <w:rPr>
          <w:rFonts w:cstheme="minorHAnsi"/>
          <w:i/>
          <w:iCs/>
        </w:rPr>
      </w:pPr>
      <w:r>
        <w:rPr>
          <w:rFonts w:cstheme="minorHAnsi"/>
        </w:rPr>
        <w:t xml:space="preserve">A </w:t>
      </w:r>
      <w:r>
        <w:rPr>
          <w:rFonts w:cstheme="minorHAnsi"/>
          <w:b/>
          <w:bCs/>
        </w:rPr>
        <w:t>t</w:t>
      </w:r>
      <w:r w:rsidRPr="00AA08AA">
        <w:rPr>
          <w:rFonts w:cstheme="minorHAnsi"/>
          <w:b/>
          <w:bCs/>
        </w:rPr>
        <w:t xml:space="preserve">otal </w:t>
      </w:r>
      <w:r>
        <w:rPr>
          <w:rFonts w:cstheme="minorHAnsi"/>
          <w:b/>
          <w:bCs/>
        </w:rPr>
        <w:t>s</w:t>
      </w:r>
      <w:r w:rsidRPr="00AA08AA">
        <w:rPr>
          <w:rFonts w:cstheme="minorHAnsi"/>
          <w:b/>
          <w:bCs/>
        </w:rPr>
        <w:t>core</w:t>
      </w:r>
      <w:r>
        <w:rPr>
          <w:rFonts w:cstheme="minorHAnsi"/>
        </w:rPr>
        <w:t xml:space="preserve"> will be calculated for all Bidders </w:t>
      </w:r>
      <w:r w:rsidRPr="00736F69">
        <w:rPr>
          <w:rFonts w:cstheme="minorHAnsi"/>
        </w:rPr>
        <w:t>after which the</w:t>
      </w:r>
      <w:r>
        <w:rPr>
          <w:rFonts w:cstheme="minorHAnsi"/>
          <w:i/>
          <w:iCs/>
        </w:rPr>
        <w:t xml:space="preserve"> </w:t>
      </w:r>
      <w:r w:rsidRPr="00AA08AA">
        <w:rPr>
          <w:rFonts w:cstheme="minorHAnsi"/>
        </w:rPr>
        <w:t>Contracting</w:t>
      </w:r>
      <w:r>
        <w:rPr>
          <w:rFonts w:cstheme="minorHAnsi"/>
          <w:i/>
          <w:iCs/>
        </w:rPr>
        <w:t xml:space="preserve"> </w:t>
      </w:r>
      <w:r>
        <w:rPr>
          <w:rFonts w:cstheme="minorHAnsi"/>
        </w:rPr>
        <w:t>Authority may then choose to invite the</w:t>
      </w:r>
      <w:r w:rsidRPr="00D551F8">
        <w:rPr>
          <w:rFonts w:cs="Calibri"/>
        </w:rPr>
        <w:t xml:space="preserve"> three highest scoring </w:t>
      </w:r>
      <w:r>
        <w:rPr>
          <w:rFonts w:cs="Calibri"/>
        </w:rPr>
        <w:t>B</w:t>
      </w:r>
      <w:r w:rsidRPr="00D551F8">
        <w:rPr>
          <w:rFonts w:cs="Calibri"/>
        </w:rPr>
        <w:t>idders</w:t>
      </w:r>
      <w:r>
        <w:rPr>
          <w:rFonts w:cs="Calibri"/>
        </w:rPr>
        <w:t xml:space="preserve"> to a clarification discussion before awarding a </w:t>
      </w:r>
      <w:r>
        <w:rPr>
          <w:rFonts w:cs="Calibri"/>
          <w:b/>
          <w:bCs/>
        </w:rPr>
        <w:t>f</w:t>
      </w:r>
      <w:r w:rsidRPr="00AA08AA">
        <w:rPr>
          <w:rFonts w:cs="Calibri"/>
          <w:b/>
          <w:bCs/>
        </w:rPr>
        <w:t xml:space="preserve">inal </w:t>
      </w:r>
      <w:r>
        <w:rPr>
          <w:rFonts w:cs="Calibri"/>
          <w:b/>
          <w:bCs/>
        </w:rPr>
        <w:t>s</w:t>
      </w:r>
      <w:r w:rsidRPr="00AA08AA">
        <w:rPr>
          <w:rFonts w:cs="Calibri"/>
          <w:b/>
          <w:bCs/>
        </w:rPr>
        <w:t>core</w:t>
      </w:r>
      <w:r>
        <w:rPr>
          <w:rFonts w:cs="Calibri"/>
        </w:rPr>
        <w:t>.</w:t>
      </w:r>
    </w:p>
    <w:p w14:paraId="2FB9F859" w14:textId="77777777" w:rsidR="00F63B27" w:rsidRDefault="00F63B27" w:rsidP="00F63B27">
      <w:pPr>
        <w:spacing w:line="276" w:lineRule="auto"/>
        <w:ind w:left="1440"/>
        <w:rPr>
          <w:rFonts w:cstheme="minorHAnsi"/>
        </w:rPr>
      </w:pPr>
    </w:p>
    <w:p w14:paraId="3B7B2ACA" w14:textId="280E85FF" w:rsidR="002A444F" w:rsidRDefault="00F63B27" w:rsidP="002A444F">
      <w:pPr>
        <w:spacing w:line="276" w:lineRule="auto"/>
        <w:ind w:left="1440"/>
        <w:jc w:val="center"/>
        <w:rPr>
          <w:rFonts w:cstheme="minorHAnsi"/>
          <w:b/>
          <w:bCs/>
          <w:i/>
          <w:iCs/>
          <w:color w:val="4F80F7"/>
        </w:rPr>
      </w:pPr>
      <w:r w:rsidRPr="00AA08AA">
        <w:rPr>
          <w:rFonts w:cstheme="minorHAnsi"/>
          <w:b/>
          <w:bCs/>
          <w:i/>
          <w:iCs/>
          <w:color w:val="4F80F7"/>
        </w:rPr>
        <w:lastRenderedPageBreak/>
        <w:t xml:space="preserve">Quality </w:t>
      </w:r>
      <w:r w:rsidR="009E676B">
        <w:rPr>
          <w:rFonts w:cstheme="minorHAnsi"/>
          <w:b/>
          <w:bCs/>
          <w:i/>
          <w:iCs/>
          <w:color w:val="4F80F7"/>
        </w:rPr>
        <w:t>s</w:t>
      </w:r>
      <w:r w:rsidRPr="00AA08AA">
        <w:rPr>
          <w:rFonts w:cstheme="minorHAnsi"/>
          <w:b/>
          <w:bCs/>
          <w:i/>
          <w:iCs/>
          <w:color w:val="4F80F7"/>
        </w:rPr>
        <w:t xml:space="preserve">core + </w:t>
      </w:r>
      <w:r w:rsidR="009E676B">
        <w:rPr>
          <w:rFonts w:cstheme="minorHAnsi"/>
          <w:b/>
          <w:bCs/>
          <w:i/>
          <w:iCs/>
          <w:color w:val="4F80F7"/>
        </w:rPr>
        <w:t>c</w:t>
      </w:r>
      <w:r w:rsidRPr="00AA08AA">
        <w:rPr>
          <w:rFonts w:cstheme="minorHAnsi"/>
          <w:b/>
          <w:bCs/>
          <w:i/>
          <w:iCs/>
          <w:color w:val="4F80F7"/>
        </w:rPr>
        <w:t>ost</w:t>
      </w:r>
      <w:r w:rsidR="009E676B">
        <w:rPr>
          <w:rFonts w:cstheme="minorHAnsi"/>
          <w:b/>
          <w:bCs/>
          <w:i/>
          <w:iCs/>
          <w:color w:val="4F80F7"/>
        </w:rPr>
        <w:t xml:space="preserve"> s</w:t>
      </w:r>
      <w:r w:rsidRPr="00AA08AA">
        <w:rPr>
          <w:rFonts w:cstheme="minorHAnsi"/>
          <w:b/>
          <w:bCs/>
          <w:i/>
          <w:iCs/>
          <w:color w:val="4F80F7"/>
        </w:rPr>
        <w:t xml:space="preserve">core = </w:t>
      </w:r>
      <w:r w:rsidR="009E676B">
        <w:rPr>
          <w:rFonts w:cstheme="minorHAnsi"/>
          <w:b/>
          <w:bCs/>
          <w:i/>
          <w:iCs/>
          <w:color w:val="4F80F7"/>
        </w:rPr>
        <w:t>f</w:t>
      </w:r>
      <w:r w:rsidRPr="00AA08AA">
        <w:rPr>
          <w:rFonts w:cstheme="minorHAnsi"/>
          <w:b/>
          <w:bCs/>
          <w:i/>
          <w:iCs/>
          <w:color w:val="4F80F7"/>
        </w:rPr>
        <w:t xml:space="preserve">inal </w:t>
      </w:r>
      <w:r w:rsidR="009E676B">
        <w:rPr>
          <w:rFonts w:cstheme="minorHAnsi"/>
          <w:b/>
          <w:bCs/>
          <w:i/>
          <w:iCs/>
          <w:color w:val="4F80F7"/>
        </w:rPr>
        <w:t>s</w:t>
      </w:r>
      <w:r w:rsidRPr="00AA08AA">
        <w:rPr>
          <w:rFonts w:cstheme="minorHAnsi"/>
          <w:b/>
          <w:bCs/>
          <w:i/>
          <w:iCs/>
          <w:color w:val="4F80F7"/>
        </w:rPr>
        <w:t>core</w:t>
      </w:r>
    </w:p>
    <w:p w14:paraId="545B040E" w14:textId="26F4DC00" w:rsidR="002A444F" w:rsidRDefault="002A444F" w:rsidP="002A444F"/>
    <w:tbl>
      <w:tblPr>
        <w:tblW w:w="8387" w:type="dxa"/>
        <w:tblInd w:w="1101" w:type="dxa"/>
        <w:tblLook w:val="04A0" w:firstRow="1" w:lastRow="0" w:firstColumn="1" w:lastColumn="0" w:noHBand="0" w:noVBand="1"/>
      </w:tblPr>
      <w:tblGrid>
        <w:gridCol w:w="1583"/>
        <w:gridCol w:w="2268"/>
        <w:gridCol w:w="2268"/>
        <w:gridCol w:w="2268"/>
      </w:tblGrid>
      <w:tr w:rsidR="009E676B" w:rsidRPr="009E676B" w14:paraId="4972E179" w14:textId="77777777" w:rsidTr="009E676B">
        <w:trPr>
          <w:trHeight w:val="61"/>
        </w:trPr>
        <w:tc>
          <w:tcPr>
            <w:tcW w:w="15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2272E" w14:textId="77777777" w:rsidR="009E676B" w:rsidRPr="009E676B" w:rsidRDefault="009E676B" w:rsidP="009E676B">
            <w:pPr>
              <w:rPr>
                <w:rFonts w:ascii="Calibri" w:hAnsi="Calibri" w:cs="Calibri"/>
                <w:b/>
                <w:bCs/>
                <w:color w:val="000000"/>
                <w:szCs w:val="20"/>
              </w:rPr>
            </w:pPr>
            <w:r w:rsidRPr="009E676B">
              <w:rPr>
                <w:rFonts w:ascii="Calibri" w:hAnsi="Calibri" w:cs="Calibri"/>
                <w:b/>
                <w:bCs/>
                <w:color w:val="000000"/>
                <w:szCs w:val="20"/>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7A95D71D" w14:textId="77777777" w:rsidR="009E676B" w:rsidRPr="009E676B" w:rsidRDefault="009E676B" w:rsidP="009E676B">
            <w:pPr>
              <w:jc w:val="center"/>
              <w:rPr>
                <w:rFonts w:ascii="Calibri" w:hAnsi="Calibri" w:cs="Calibri"/>
                <w:b/>
                <w:bCs/>
                <w:color w:val="000000"/>
                <w:szCs w:val="20"/>
              </w:rPr>
            </w:pPr>
            <w:r w:rsidRPr="009E676B">
              <w:rPr>
                <w:rFonts w:ascii="Calibri" w:hAnsi="Calibri" w:cs="Calibri"/>
                <w:b/>
                <w:bCs/>
                <w:color w:val="000000"/>
                <w:szCs w:val="20"/>
              </w:rPr>
              <w:t>Quality score awarded</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16A77B5" w14:textId="77777777" w:rsidR="009E676B" w:rsidRPr="009E676B" w:rsidRDefault="009E676B" w:rsidP="009E676B">
            <w:pPr>
              <w:jc w:val="center"/>
              <w:rPr>
                <w:rFonts w:ascii="Calibri" w:hAnsi="Calibri" w:cs="Calibri"/>
                <w:b/>
                <w:bCs/>
                <w:color w:val="000000"/>
                <w:szCs w:val="20"/>
              </w:rPr>
            </w:pPr>
            <w:r w:rsidRPr="009E676B">
              <w:rPr>
                <w:rFonts w:ascii="Calibri" w:hAnsi="Calibri" w:cs="Calibri"/>
                <w:b/>
                <w:bCs/>
                <w:color w:val="000000"/>
                <w:szCs w:val="20"/>
              </w:rPr>
              <w:t>Cost score awarded</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4C7F447A" w14:textId="77777777" w:rsidR="009E676B" w:rsidRPr="009E676B" w:rsidRDefault="009E676B" w:rsidP="009E676B">
            <w:pPr>
              <w:jc w:val="center"/>
              <w:rPr>
                <w:rFonts w:ascii="Calibri" w:hAnsi="Calibri" w:cs="Calibri"/>
                <w:b/>
                <w:bCs/>
                <w:color w:val="000000"/>
                <w:szCs w:val="20"/>
              </w:rPr>
            </w:pPr>
            <w:r w:rsidRPr="009E676B">
              <w:rPr>
                <w:rFonts w:ascii="Calibri" w:hAnsi="Calibri" w:cs="Calibri"/>
                <w:b/>
                <w:bCs/>
                <w:color w:val="000000"/>
                <w:szCs w:val="20"/>
              </w:rPr>
              <w:t>Final score awarded</w:t>
            </w:r>
          </w:p>
        </w:tc>
      </w:tr>
      <w:tr w:rsidR="009E676B" w:rsidRPr="009E676B" w14:paraId="5F21CBD5" w14:textId="77777777" w:rsidTr="009E676B">
        <w:trPr>
          <w:trHeight w:val="61"/>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5740C109" w14:textId="77777777" w:rsidR="009E676B" w:rsidRPr="009E676B" w:rsidRDefault="009E676B" w:rsidP="009E676B">
            <w:pPr>
              <w:rPr>
                <w:rFonts w:ascii="Calibri" w:hAnsi="Calibri" w:cs="Calibri"/>
                <w:color w:val="000000"/>
                <w:szCs w:val="20"/>
              </w:rPr>
            </w:pPr>
            <w:r w:rsidRPr="009E676B">
              <w:rPr>
                <w:rFonts w:ascii="Calibri" w:hAnsi="Calibri" w:cs="Calibri"/>
                <w:color w:val="000000"/>
                <w:szCs w:val="20"/>
              </w:rPr>
              <w:t>Bidder A</w:t>
            </w:r>
          </w:p>
        </w:tc>
        <w:tc>
          <w:tcPr>
            <w:tcW w:w="2268" w:type="dxa"/>
            <w:tcBorders>
              <w:top w:val="nil"/>
              <w:left w:val="nil"/>
              <w:bottom w:val="single" w:sz="8" w:space="0" w:color="auto"/>
              <w:right w:val="single" w:sz="8" w:space="0" w:color="auto"/>
            </w:tcBorders>
            <w:shd w:val="clear" w:color="auto" w:fill="auto"/>
            <w:vAlign w:val="center"/>
            <w:hideMark/>
          </w:tcPr>
          <w:p w14:paraId="6A3A6D8E"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36</w:t>
            </w:r>
          </w:p>
        </w:tc>
        <w:tc>
          <w:tcPr>
            <w:tcW w:w="2268" w:type="dxa"/>
            <w:tcBorders>
              <w:top w:val="nil"/>
              <w:left w:val="nil"/>
              <w:bottom w:val="single" w:sz="8" w:space="0" w:color="auto"/>
              <w:right w:val="single" w:sz="8" w:space="0" w:color="auto"/>
            </w:tcBorders>
            <w:shd w:val="clear" w:color="auto" w:fill="auto"/>
            <w:vAlign w:val="center"/>
            <w:hideMark/>
          </w:tcPr>
          <w:p w14:paraId="5E89C104"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40</w:t>
            </w:r>
          </w:p>
        </w:tc>
        <w:tc>
          <w:tcPr>
            <w:tcW w:w="2268" w:type="dxa"/>
            <w:tcBorders>
              <w:top w:val="nil"/>
              <w:left w:val="nil"/>
              <w:bottom w:val="single" w:sz="8" w:space="0" w:color="auto"/>
              <w:right w:val="single" w:sz="8" w:space="0" w:color="auto"/>
            </w:tcBorders>
            <w:shd w:val="clear" w:color="auto" w:fill="auto"/>
            <w:vAlign w:val="center"/>
            <w:hideMark/>
          </w:tcPr>
          <w:p w14:paraId="65BEADE3"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76</w:t>
            </w:r>
          </w:p>
        </w:tc>
      </w:tr>
      <w:tr w:rsidR="009E676B" w:rsidRPr="009E676B" w14:paraId="14A78C95" w14:textId="77777777" w:rsidTr="009E676B">
        <w:trPr>
          <w:trHeight w:val="61"/>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2E959993" w14:textId="77777777" w:rsidR="009E676B" w:rsidRPr="009E676B" w:rsidRDefault="009E676B" w:rsidP="009E676B">
            <w:pPr>
              <w:rPr>
                <w:rFonts w:ascii="Calibri" w:hAnsi="Calibri" w:cs="Calibri"/>
                <w:color w:val="000000"/>
                <w:szCs w:val="20"/>
              </w:rPr>
            </w:pPr>
            <w:r w:rsidRPr="009E676B">
              <w:rPr>
                <w:rFonts w:ascii="Calibri" w:hAnsi="Calibri" w:cs="Calibri"/>
                <w:color w:val="000000"/>
                <w:szCs w:val="20"/>
              </w:rPr>
              <w:t>Bidder B</w:t>
            </w:r>
          </w:p>
        </w:tc>
        <w:tc>
          <w:tcPr>
            <w:tcW w:w="2268" w:type="dxa"/>
            <w:tcBorders>
              <w:top w:val="nil"/>
              <w:left w:val="nil"/>
              <w:bottom w:val="single" w:sz="8" w:space="0" w:color="auto"/>
              <w:right w:val="single" w:sz="8" w:space="0" w:color="auto"/>
            </w:tcBorders>
            <w:shd w:val="clear" w:color="auto" w:fill="auto"/>
            <w:vAlign w:val="center"/>
            <w:hideMark/>
          </w:tcPr>
          <w:p w14:paraId="3C316529"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48</w:t>
            </w:r>
          </w:p>
        </w:tc>
        <w:tc>
          <w:tcPr>
            <w:tcW w:w="2268" w:type="dxa"/>
            <w:tcBorders>
              <w:top w:val="nil"/>
              <w:left w:val="nil"/>
              <w:bottom w:val="single" w:sz="8" w:space="0" w:color="auto"/>
              <w:right w:val="single" w:sz="8" w:space="0" w:color="auto"/>
            </w:tcBorders>
            <w:shd w:val="clear" w:color="auto" w:fill="auto"/>
            <w:vAlign w:val="center"/>
            <w:hideMark/>
          </w:tcPr>
          <w:p w14:paraId="4E0297AE"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33.332</w:t>
            </w:r>
          </w:p>
        </w:tc>
        <w:tc>
          <w:tcPr>
            <w:tcW w:w="2268" w:type="dxa"/>
            <w:tcBorders>
              <w:top w:val="nil"/>
              <w:left w:val="nil"/>
              <w:bottom w:val="single" w:sz="8" w:space="0" w:color="auto"/>
              <w:right w:val="single" w:sz="8" w:space="0" w:color="auto"/>
            </w:tcBorders>
            <w:shd w:val="clear" w:color="auto" w:fill="auto"/>
            <w:vAlign w:val="center"/>
            <w:hideMark/>
          </w:tcPr>
          <w:p w14:paraId="5481DA7B"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81.332</w:t>
            </w:r>
          </w:p>
        </w:tc>
      </w:tr>
      <w:tr w:rsidR="009E676B" w:rsidRPr="009E676B" w14:paraId="4C489B71" w14:textId="77777777" w:rsidTr="009E676B">
        <w:trPr>
          <w:trHeight w:val="61"/>
        </w:trPr>
        <w:tc>
          <w:tcPr>
            <w:tcW w:w="1583" w:type="dxa"/>
            <w:tcBorders>
              <w:top w:val="nil"/>
              <w:left w:val="single" w:sz="8" w:space="0" w:color="auto"/>
              <w:bottom w:val="single" w:sz="8" w:space="0" w:color="auto"/>
              <w:right w:val="single" w:sz="8" w:space="0" w:color="auto"/>
            </w:tcBorders>
            <w:shd w:val="clear" w:color="auto" w:fill="auto"/>
            <w:vAlign w:val="center"/>
            <w:hideMark/>
          </w:tcPr>
          <w:p w14:paraId="7AC8F92E" w14:textId="77777777" w:rsidR="009E676B" w:rsidRPr="009E676B" w:rsidRDefault="009E676B" w:rsidP="009E676B">
            <w:pPr>
              <w:rPr>
                <w:rFonts w:ascii="Calibri" w:hAnsi="Calibri" w:cs="Calibri"/>
                <w:color w:val="000000"/>
                <w:szCs w:val="20"/>
              </w:rPr>
            </w:pPr>
            <w:r w:rsidRPr="009E676B">
              <w:rPr>
                <w:rFonts w:ascii="Calibri" w:hAnsi="Calibri" w:cs="Calibri"/>
                <w:color w:val="000000"/>
                <w:szCs w:val="20"/>
              </w:rPr>
              <w:t>Bidder C</w:t>
            </w:r>
          </w:p>
        </w:tc>
        <w:tc>
          <w:tcPr>
            <w:tcW w:w="2268" w:type="dxa"/>
            <w:tcBorders>
              <w:top w:val="nil"/>
              <w:left w:val="nil"/>
              <w:bottom w:val="single" w:sz="8" w:space="0" w:color="auto"/>
              <w:right w:val="single" w:sz="8" w:space="0" w:color="auto"/>
            </w:tcBorders>
            <w:shd w:val="clear" w:color="auto" w:fill="auto"/>
            <w:vAlign w:val="center"/>
            <w:hideMark/>
          </w:tcPr>
          <w:p w14:paraId="0B0C5DBD"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55.8</w:t>
            </w:r>
          </w:p>
        </w:tc>
        <w:tc>
          <w:tcPr>
            <w:tcW w:w="2268" w:type="dxa"/>
            <w:tcBorders>
              <w:top w:val="nil"/>
              <w:left w:val="nil"/>
              <w:bottom w:val="single" w:sz="8" w:space="0" w:color="auto"/>
              <w:right w:val="single" w:sz="8" w:space="0" w:color="auto"/>
            </w:tcBorders>
            <w:shd w:val="clear" w:color="auto" w:fill="auto"/>
            <w:vAlign w:val="center"/>
            <w:hideMark/>
          </w:tcPr>
          <w:p w14:paraId="7474D13B"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30.768</w:t>
            </w:r>
          </w:p>
        </w:tc>
        <w:tc>
          <w:tcPr>
            <w:tcW w:w="2268" w:type="dxa"/>
            <w:tcBorders>
              <w:top w:val="nil"/>
              <w:left w:val="nil"/>
              <w:bottom w:val="single" w:sz="8" w:space="0" w:color="auto"/>
              <w:right w:val="single" w:sz="8" w:space="0" w:color="auto"/>
            </w:tcBorders>
            <w:shd w:val="clear" w:color="auto" w:fill="auto"/>
            <w:vAlign w:val="center"/>
            <w:hideMark/>
          </w:tcPr>
          <w:p w14:paraId="408BBFC4" w14:textId="77777777" w:rsidR="009E676B" w:rsidRPr="009E676B" w:rsidRDefault="009E676B" w:rsidP="009E676B">
            <w:pPr>
              <w:jc w:val="center"/>
              <w:rPr>
                <w:rFonts w:ascii="Calibri" w:hAnsi="Calibri" w:cs="Calibri"/>
                <w:color w:val="000000"/>
                <w:szCs w:val="20"/>
              </w:rPr>
            </w:pPr>
            <w:r w:rsidRPr="009E676B">
              <w:rPr>
                <w:rFonts w:ascii="Calibri" w:hAnsi="Calibri" w:cs="Calibri"/>
                <w:color w:val="000000"/>
                <w:szCs w:val="20"/>
              </w:rPr>
              <w:t>86.568</w:t>
            </w:r>
          </w:p>
        </w:tc>
      </w:tr>
    </w:tbl>
    <w:p w14:paraId="1AA8A6AC" w14:textId="530ED093" w:rsidR="002A444F" w:rsidRDefault="002A444F" w:rsidP="002A444F"/>
    <w:p w14:paraId="7A648B2A" w14:textId="77777777" w:rsidR="002A444F" w:rsidRPr="002A444F" w:rsidRDefault="002A444F" w:rsidP="002A444F"/>
    <w:p w14:paraId="710B7BD4" w14:textId="43412BD4" w:rsidR="00AB6AE2" w:rsidRDefault="00AB6AE2" w:rsidP="00AB6AE2">
      <w:pPr>
        <w:pStyle w:val="Level1"/>
      </w:pPr>
      <w:bookmarkStart w:id="196" w:name="_Toc44515932"/>
      <w:bookmarkStart w:id="197" w:name="_Toc86338476"/>
      <w:bookmarkStart w:id="198" w:name="_Toc86338809"/>
      <w:bookmarkStart w:id="199" w:name="_Toc117092808"/>
      <w:bookmarkStart w:id="200" w:name="_Toc118472360"/>
      <w:r>
        <w:t>Decision to Award</w:t>
      </w:r>
      <w:bookmarkEnd w:id="200"/>
    </w:p>
    <w:p w14:paraId="2ADA0DEA" w14:textId="77777777" w:rsidR="00CF6CBE" w:rsidRPr="00CF6CBE" w:rsidRDefault="00CF6CBE" w:rsidP="00AB6AE2">
      <w:pPr>
        <w:pStyle w:val="Level2"/>
      </w:pPr>
      <w:r>
        <w:rPr>
          <w:rFonts w:ascii="Calibri" w:hAnsi="Calibri" w:cs="Calibri"/>
          <w:color w:val="000000"/>
          <w:szCs w:val="20"/>
        </w:rPr>
        <w:t>The Trust will inform all potential suppliers via email and the portal of the intention to award. Following the standstill period and subject to there being no substantive challenge to that intention, the</w:t>
      </w:r>
      <w:r>
        <w:rPr>
          <w:rStyle w:val="apple-converted-space"/>
          <w:rFonts w:ascii="Calibri" w:hAnsi="Calibri" w:cs="Calibri"/>
          <w:color w:val="000000"/>
          <w:szCs w:val="20"/>
        </w:rPr>
        <w:t> </w:t>
      </w:r>
      <w:r>
        <w:rPr>
          <w:rFonts w:ascii="Calibri" w:hAnsi="Calibri" w:cs="Calibri"/>
          <w:szCs w:val="20"/>
        </w:rPr>
        <w:t>Authority and the Successful Bidder will review the proposed Service Contract and then sign the agreement.</w:t>
      </w:r>
    </w:p>
    <w:p w14:paraId="4A97AB21" w14:textId="551F3FA9" w:rsidR="00AB6AE2" w:rsidRPr="00F54042" w:rsidRDefault="00AB6AE2" w:rsidP="00AB6AE2">
      <w:pPr>
        <w:pStyle w:val="Level2"/>
      </w:pPr>
      <w:r w:rsidRPr="00F54042">
        <w:t xml:space="preserve">The term “Standstill Period” refers to the period set out in Regulation 87(2) and, in summary, is a period of ten calendar days following </w:t>
      </w:r>
      <w:r>
        <w:t>T</w:t>
      </w:r>
      <w:r w:rsidRPr="00F54042">
        <w:t xml:space="preserve">he </w:t>
      </w:r>
      <w:r>
        <w:t>T</w:t>
      </w:r>
      <w:r w:rsidRPr="00F54042">
        <w:t>rust</w:t>
      </w:r>
      <w:r w:rsidR="00BD4D09">
        <w:t>’</w:t>
      </w:r>
      <w:r w:rsidRPr="00F54042">
        <w:t xml:space="preserve">s notice of decision to conclude the </w:t>
      </w:r>
      <w:r>
        <w:t>procurement</w:t>
      </w:r>
      <w:r w:rsidRPr="00F54042">
        <w:t xml:space="preserve"> tendered via the government FTS service. It allows unsuccessful </w:t>
      </w:r>
      <w:r>
        <w:t>B</w:t>
      </w:r>
      <w:r w:rsidRPr="00F54042">
        <w:t xml:space="preserve">idders the opportunity to raise any questions with </w:t>
      </w:r>
      <w:r>
        <w:t>The Trust</w:t>
      </w:r>
      <w:r w:rsidRPr="00F54042">
        <w:t xml:space="preserve"> that relate</w:t>
      </w:r>
      <w:r>
        <w:t>s</w:t>
      </w:r>
      <w:r w:rsidRPr="00F54042">
        <w:t xml:space="preserve"> to the decision to award before the </w:t>
      </w:r>
      <w:r>
        <w:t>procurement</w:t>
      </w:r>
      <w:r w:rsidRPr="00F54042">
        <w:t xml:space="preserve"> is concluded. </w:t>
      </w:r>
      <w:r>
        <w:t>The Trust</w:t>
      </w:r>
      <w:r w:rsidRPr="00F54042">
        <w:t xml:space="preserve"> cannot provide advice to unsuccessful potential service providers of the steps they should take and, if they have not already done so, potential service providers should always seek independent legal advice, where appropriate.</w:t>
      </w:r>
    </w:p>
    <w:p w14:paraId="7B1E8826" w14:textId="0A2B5AF4" w:rsidR="003605A6" w:rsidRDefault="00AB6AE2" w:rsidP="003605A6">
      <w:pPr>
        <w:pStyle w:val="Level2"/>
      </w:pPr>
      <w:r w:rsidRPr="00F54042">
        <w:t xml:space="preserve">The conclusion of the </w:t>
      </w:r>
      <w:r>
        <w:t>procurement</w:t>
      </w:r>
      <w:r w:rsidRPr="00F54042">
        <w:t xml:space="preserve"> is subject to contract (including the satisfaction of any conditions precedent) and subject to provision of due ‘certificates, statements and other means of proof’ where potential service providers have to this point relied on self-certification. These ‘certificates, statements and other means of proof’ must be provided to </w:t>
      </w:r>
      <w:r>
        <w:t>The Trust</w:t>
      </w:r>
      <w:r w:rsidRPr="00F54042">
        <w:t xml:space="preserve"> within 5 working days if and as requested post award.</w:t>
      </w:r>
      <w:bookmarkStart w:id="201" w:name="_Toc44515920"/>
      <w:bookmarkStart w:id="202" w:name="_Toc86338475"/>
      <w:bookmarkStart w:id="203" w:name="_Toc86338796"/>
      <w:bookmarkEnd w:id="196"/>
      <w:bookmarkEnd w:id="197"/>
      <w:bookmarkEnd w:id="198"/>
      <w:bookmarkEnd w:id="199"/>
    </w:p>
    <w:p w14:paraId="418405BF" w14:textId="1A70E5FD" w:rsidR="00B55002" w:rsidRDefault="00B55002" w:rsidP="00AB6AE2">
      <w:pPr>
        <w:pStyle w:val="Level1"/>
      </w:pPr>
      <w:bookmarkStart w:id="204" w:name="_Toc117090074"/>
      <w:bookmarkStart w:id="205" w:name="_Toc117092816"/>
      <w:bookmarkStart w:id="206" w:name="_Toc118472361"/>
      <w:bookmarkEnd w:id="201"/>
      <w:bookmarkEnd w:id="202"/>
      <w:bookmarkEnd w:id="203"/>
      <w:r w:rsidRPr="00AC38B0">
        <w:t>Service Delivery / Monitor Performance</w:t>
      </w:r>
      <w:bookmarkEnd w:id="204"/>
      <w:bookmarkEnd w:id="205"/>
      <w:bookmarkEnd w:id="206"/>
      <w:r w:rsidRPr="00AC38B0">
        <w:t xml:space="preserve"> </w:t>
      </w:r>
    </w:p>
    <w:p w14:paraId="5254DBF2" w14:textId="77777777" w:rsidR="00B55002" w:rsidRPr="00AB6AE2" w:rsidRDefault="00B55002" w:rsidP="00AB6AE2">
      <w:pPr>
        <w:pStyle w:val="Level2"/>
      </w:pPr>
      <w:r w:rsidRPr="00AB6AE2">
        <w:t xml:space="preserve">Once installation (where required) is complete and formally signed off by the customer following the User Acceptance Tests (UATs) set out in the contract, the project should move into the Service Delivery phase. The specific nature of service provided will depend on the nature of the project and service as contracted. </w:t>
      </w:r>
    </w:p>
    <w:p w14:paraId="272D64F5" w14:textId="7197FAC2" w:rsidR="00AB6AE2" w:rsidRPr="0072029E" w:rsidRDefault="00AB6AE2" w:rsidP="00AB6AE2">
      <w:pPr>
        <w:pStyle w:val="Level1"/>
      </w:pPr>
      <w:bookmarkStart w:id="207" w:name="_Toc44515867"/>
      <w:bookmarkStart w:id="208" w:name="_Toc86338464"/>
      <w:bookmarkStart w:id="209" w:name="_Toc86338724"/>
      <w:bookmarkStart w:id="210" w:name="_Toc117092800"/>
      <w:bookmarkStart w:id="211" w:name="_Toc118472362"/>
      <w:r w:rsidRPr="0072029E">
        <w:t>Continuous Improvement</w:t>
      </w:r>
      <w:bookmarkEnd w:id="207"/>
      <w:bookmarkEnd w:id="208"/>
      <w:bookmarkEnd w:id="209"/>
      <w:bookmarkEnd w:id="210"/>
      <w:bookmarkEnd w:id="211"/>
    </w:p>
    <w:p w14:paraId="7EFDAC40" w14:textId="122FC4CF" w:rsidR="00AB6AE2" w:rsidRDefault="00AB6AE2" w:rsidP="00AB6AE2">
      <w:pPr>
        <w:pStyle w:val="Level2"/>
      </w:pPr>
      <w:bookmarkStart w:id="212" w:name="_Toc44515868"/>
      <w:bookmarkStart w:id="213" w:name="_Toc86338725"/>
      <w:r w:rsidRPr="00164EC8">
        <w:t xml:space="preserve">All </w:t>
      </w:r>
      <w:r>
        <w:t>s</w:t>
      </w:r>
      <w:r w:rsidRPr="00164EC8">
        <w:t xml:space="preserve">uppliers are required to collaborate with </w:t>
      </w:r>
      <w:r>
        <w:t>T</w:t>
      </w:r>
      <w:r w:rsidRPr="007148B1">
        <w:t xml:space="preserve">he </w:t>
      </w:r>
      <w:r>
        <w:t>T</w:t>
      </w:r>
      <w:r w:rsidRPr="007148B1">
        <w:t>rust</w:t>
      </w:r>
      <w:r w:rsidRPr="00164EC8">
        <w:t xml:space="preserve"> over the full period of the contract to achieve continuous improvement in the quality and delivery of the services procured under this framework in accordance with their obligations under Part 1 of the Local Government Act 1999.</w:t>
      </w:r>
      <w:bookmarkEnd w:id="212"/>
      <w:bookmarkEnd w:id="213"/>
    </w:p>
    <w:p w14:paraId="2F03973D" w14:textId="335BBF9C" w:rsidR="00AB6AE2" w:rsidRDefault="00AB6AE2" w:rsidP="00AB6AE2">
      <w:pPr>
        <w:pStyle w:val="Level1"/>
      </w:pPr>
      <w:bookmarkStart w:id="214" w:name="_Toc117090073"/>
      <w:bookmarkStart w:id="215" w:name="_Toc117092815"/>
      <w:bookmarkStart w:id="216" w:name="_Toc118472363"/>
      <w:r>
        <w:t xml:space="preserve">Procurement </w:t>
      </w:r>
      <w:bookmarkEnd w:id="214"/>
      <w:bookmarkEnd w:id="215"/>
      <w:r>
        <w:t>Fees</w:t>
      </w:r>
      <w:bookmarkEnd w:id="216"/>
    </w:p>
    <w:p w14:paraId="7A776792" w14:textId="77777777" w:rsidR="00BD4D09" w:rsidRPr="003728EA" w:rsidRDefault="00BD4D09" w:rsidP="00AB6AE2">
      <w:pPr>
        <w:pStyle w:val="Level2"/>
      </w:pPr>
      <w:r w:rsidRPr="003728EA">
        <w:t xml:space="preserve">There is a 1% fee payable by the supplier to </w:t>
      </w:r>
      <w:proofErr w:type="spellStart"/>
      <w:r w:rsidRPr="003728EA">
        <w:t>Cimple</w:t>
      </w:r>
      <w:proofErr w:type="spellEnd"/>
      <w:r w:rsidRPr="003728EA">
        <w:t xml:space="preserve"> for the use of their procurement portal.</w:t>
      </w:r>
    </w:p>
    <w:p w14:paraId="4D9DEE3F" w14:textId="51CD4965" w:rsidR="00AB6AE2" w:rsidRPr="00AB6AE2" w:rsidRDefault="00AB6AE2" w:rsidP="00BD4D09">
      <w:pPr>
        <w:pStyle w:val="Level2"/>
        <w:numPr>
          <w:ilvl w:val="0"/>
          <w:numId w:val="0"/>
        </w:numPr>
        <w:ind w:left="1077"/>
        <w:rPr>
          <w:highlight w:val="yellow"/>
        </w:rPr>
      </w:pPr>
    </w:p>
    <w:sectPr w:rsidR="00AB6AE2" w:rsidRPr="00AB6AE2" w:rsidSect="00C92C54">
      <w:headerReference w:type="default" r:id="rId21"/>
      <w:footerReference w:type="default" r:id="rId22"/>
      <w:pgSz w:w="11900" w:h="16840"/>
      <w:pgMar w:top="1551" w:right="1440" w:bottom="1117" w:left="1156" w:header="714"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9F16" w14:textId="77777777" w:rsidR="009E1124" w:rsidRDefault="009E1124" w:rsidP="0041329F">
      <w:r>
        <w:separator/>
      </w:r>
    </w:p>
  </w:endnote>
  <w:endnote w:type="continuationSeparator" w:id="0">
    <w:p w14:paraId="0A933497" w14:textId="77777777" w:rsidR="009E1124" w:rsidRDefault="009E1124" w:rsidP="0041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D0CE" w14:textId="7A4EE498" w:rsidR="004B1162" w:rsidRPr="00AB6AE2" w:rsidRDefault="00AB6AE2" w:rsidP="00AB6AE2">
    <w:pPr>
      <w:pStyle w:val="Footer"/>
      <w:ind w:right="360"/>
      <w:jc w:val="center"/>
      <w:rPr>
        <w:rFonts w:cstheme="minorHAnsi"/>
        <w:sz w:val="18"/>
        <w:szCs w:val="18"/>
      </w:rPr>
    </w:pPr>
    <w:r w:rsidRPr="00AB6AE2">
      <w:rPr>
        <w:rFonts w:cstheme="minorHAnsi"/>
        <w:sz w:val="18"/>
        <w:szCs w:val="18"/>
      </w:rPr>
      <w:t>Commercial in Confidence</w:t>
    </w:r>
  </w:p>
  <w:p w14:paraId="3FA48578" w14:textId="1CC1484A" w:rsidR="00AB6AE2" w:rsidRPr="00AB6AE2" w:rsidRDefault="00AB6AE2" w:rsidP="00AB6AE2">
    <w:pPr>
      <w:pStyle w:val="Footer"/>
      <w:ind w:right="360"/>
      <w:jc w:val="center"/>
      <w:rPr>
        <w:rFonts w:cstheme="minorHAnsi"/>
        <w:sz w:val="18"/>
        <w:szCs w:val="18"/>
      </w:rPr>
    </w:pPr>
    <w:r w:rsidRPr="00AB6AE2">
      <w:rPr>
        <w:rFonts w:cstheme="minorHAnsi"/>
        <w:sz w:val="18"/>
        <w:szCs w:val="18"/>
      </w:rPr>
      <w:t xml:space="preserve">Page </w:t>
    </w:r>
    <w:r w:rsidRPr="00AB6AE2">
      <w:rPr>
        <w:rFonts w:cstheme="minorHAnsi"/>
        <w:sz w:val="18"/>
        <w:szCs w:val="18"/>
      </w:rPr>
      <w:fldChar w:fldCharType="begin"/>
    </w:r>
    <w:r w:rsidRPr="00AB6AE2">
      <w:rPr>
        <w:rFonts w:cstheme="minorHAnsi"/>
        <w:sz w:val="18"/>
        <w:szCs w:val="18"/>
      </w:rPr>
      <w:instrText xml:space="preserve"> PAGE </w:instrText>
    </w:r>
    <w:r w:rsidRPr="00AB6AE2">
      <w:rPr>
        <w:rFonts w:cstheme="minorHAnsi"/>
        <w:sz w:val="18"/>
        <w:szCs w:val="18"/>
      </w:rPr>
      <w:fldChar w:fldCharType="separate"/>
    </w:r>
    <w:r w:rsidRPr="00AB6AE2">
      <w:rPr>
        <w:rFonts w:cstheme="minorHAnsi"/>
        <w:noProof/>
        <w:sz w:val="18"/>
        <w:szCs w:val="18"/>
      </w:rPr>
      <w:t>1</w:t>
    </w:r>
    <w:r w:rsidRPr="00AB6AE2">
      <w:rPr>
        <w:rFonts w:cstheme="minorHAnsi"/>
        <w:sz w:val="18"/>
        <w:szCs w:val="18"/>
      </w:rPr>
      <w:fldChar w:fldCharType="end"/>
    </w:r>
    <w:r w:rsidRPr="00AB6AE2">
      <w:rPr>
        <w:rFonts w:cstheme="minorHAnsi"/>
        <w:sz w:val="18"/>
        <w:szCs w:val="18"/>
      </w:rPr>
      <w:t xml:space="preserve"> of </w:t>
    </w:r>
    <w:r w:rsidRPr="00AB6AE2">
      <w:rPr>
        <w:rFonts w:cstheme="minorHAnsi"/>
        <w:sz w:val="18"/>
        <w:szCs w:val="18"/>
      </w:rPr>
      <w:fldChar w:fldCharType="begin"/>
    </w:r>
    <w:r w:rsidRPr="00AB6AE2">
      <w:rPr>
        <w:rFonts w:cstheme="minorHAnsi"/>
        <w:sz w:val="18"/>
        <w:szCs w:val="18"/>
      </w:rPr>
      <w:instrText xml:space="preserve"> NUMPAGES </w:instrText>
    </w:r>
    <w:r w:rsidRPr="00AB6AE2">
      <w:rPr>
        <w:rFonts w:cstheme="minorHAnsi"/>
        <w:sz w:val="18"/>
        <w:szCs w:val="18"/>
      </w:rPr>
      <w:fldChar w:fldCharType="separate"/>
    </w:r>
    <w:r w:rsidRPr="00AB6AE2">
      <w:rPr>
        <w:rFonts w:cstheme="minorHAnsi"/>
        <w:noProof/>
        <w:sz w:val="18"/>
        <w:szCs w:val="18"/>
      </w:rPr>
      <w:t>12</w:t>
    </w:r>
    <w:r w:rsidRPr="00AB6AE2">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ECC3" w14:textId="77777777" w:rsidR="009E1124" w:rsidRDefault="009E1124" w:rsidP="0041329F">
      <w:r>
        <w:separator/>
      </w:r>
    </w:p>
  </w:footnote>
  <w:footnote w:type="continuationSeparator" w:id="0">
    <w:p w14:paraId="2BDB3311" w14:textId="77777777" w:rsidR="009E1124" w:rsidRDefault="009E1124" w:rsidP="0041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5136" w14:textId="7497CCAF" w:rsidR="009C54C3" w:rsidRDefault="009C54C3">
    <w:pPr>
      <w:pStyle w:val="Header"/>
    </w:pPr>
  </w:p>
  <w:tbl>
    <w:tblPr>
      <w:tblW w:w="9498" w:type="dxa"/>
      <w:tblLook w:val="04A0" w:firstRow="1" w:lastRow="0" w:firstColumn="1" w:lastColumn="0" w:noHBand="0" w:noVBand="1"/>
    </w:tblPr>
    <w:tblGrid>
      <w:gridCol w:w="4059"/>
      <w:gridCol w:w="5439"/>
    </w:tblGrid>
    <w:tr w:rsidR="009C54C3" w:rsidRPr="00204958" w14:paraId="31A40E6D" w14:textId="77777777" w:rsidTr="002367AB">
      <w:trPr>
        <w:trHeight w:val="571"/>
      </w:trPr>
      <w:tc>
        <w:tcPr>
          <w:tcW w:w="4059" w:type="dxa"/>
          <w:vAlign w:val="center"/>
        </w:tcPr>
        <w:p w14:paraId="2B295F5B" w14:textId="36BFCA4B" w:rsidR="009C54C3" w:rsidRPr="00357476" w:rsidRDefault="009C54C3" w:rsidP="009C54C3">
          <w:pPr>
            <w:rPr>
              <w:color w:val="1F3864" w:themeColor="accent1" w:themeShade="80"/>
            </w:rPr>
          </w:pPr>
          <w:r w:rsidRPr="00357476">
            <w:rPr>
              <w:noProof/>
              <w:color w:val="1F3864" w:themeColor="accent1" w:themeShade="80"/>
            </w:rPr>
            <w:drawing>
              <wp:anchor distT="0" distB="0" distL="114300" distR="114300" simplePos="0" relativeHeight="251681792" behindDoc="0" locked="0" layoutInCell="1" allowOverlap="1" wp14:anchorId="2F8172B1" wp14:editId="24FCF8CD">
                <wp:simplePos x="0" y="0"/>
                <wp:positionH relativeFrom="column">
                  <wp:posOffset>-538480</wp:posOffset>
                </wp:positionH>
                <wp:positionV relativeFrom="paragraph">
                  <wp:posOffset>-265430</wp:posOffset>
                </wp:positionV>
                <wp:extent cx="1435735" cy="262255"/>
                <wp:effectExtent l="0" t="0" r="0" b="4445"/>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pic:cNvPicPr/>
                      </pic:nvPicPr>
                      <pic:blipFill>
                        <a:blip r:embed="rId1">
                          <a:extLst>
                            <a:ext uri="{96DAC541-7B7A-43D3-8B79-37D633B846F1}">
                              <asvg:svgBlip xmlns:asvg="http://schemas.microsoft.com/office/drawing/2016/SVG/main" r:embed="rId2"/>
                            </a:ext>
                          </a:extLst>
                        </a:blip>
                        <a:stretch>
                          <a:fillRect/>
                        </a:stretch>
                      </pic:blipFill>
                      <pic:spPr>
                        <a:xfrm>
                          <a:off x="0" y="0"/>
                          <a:ext cx="1435735" cy="262255"/>
                        </a:xfrm>
                        <a:prstGeom prst="rect">
                          <a:avLst/>
                        </a:prstGeom>
                      </pic:spPr>
                    </pic:pic>
                  </a:graphicData>
                </a:graphic>
                <wp14:sizeRelH relativeFrom="page">
                  <wp14:pctWidth>0</wp14:pctWidth>
                </wp14:sizeRelH>
                <wp14:sizeRelV relativeFrom="page">
                  <wp14:pctHeight>0</wp14:pctHeight>
                </wp14:sizeRelV>
              </wp:anchor>
            </w:drawing>
          </w:r>
          <w:r w:rsidRPr="00357476">
            <w:rPr>
              <w:noProof/>
              <w:color w:val="1F3864" w:themeColor="accent1" w:themeShade="80"/>
            </w:rPr>
            <mc:AlternateContent>
              <mc:Choice Requires="wps">
                <w:drawing>
                  <wp:anchor distT="0" distB="0" distL="114300" distR="114300" simplePos="0" relativeHeight="251679744" behindDoc="0" locked="0" layoutInCell="1" allowOverlap="1" wp14:anchorId="7DCA3E64" wp14:editId="52C87784">
                    <wp:simplePos x="0" y="0"/>
                    <wp:positionH relativeFrom="column">
                      <wp:posOffset>-1348105</wp:posOffset>
                    </wp:positionH>
                    <wp:positionV relativeFrom="paragraph">
                      <wp:posOffset>102235</wp:posOffset>
                    </wp:positionV>
                    <wp:extent cx="8071485" cy="0"/>
                    <wp:effectExtent l="12700" t="12700" r="18415" b="25400"/>
                    <wp:wrapNone/>
                    <wp:docPr id="1" name="Straight Connector 1"/>
                    <wp:cNvGraphicFramePr/>
                    <a:graphic xmlns:a="http://schemas.openxmlformats.org/drawingml/2006/main">
                      <a:graphicData uri="http://schemas.microsoft.com/office/word/2010/wordprocessingShape">
                        <wps:wsp>
                          <wps:cNvCnPr/>
                          <wps:spPr>
                            <a:xfrm>
                              <a:off x="0" y="0"/>
                              <a:ext cx="8071485" cy="0"/>
                            </a:xfrm>
                            <a:prstGeom prst="line">
                              <a:avLst/>
                            </a:prstGeom>
                            <a:ln w="12700" cap="sq">
                              <a:solidFill>
                                <a:schemeClr val="accent1">
                                  <a:lumMod val="75000"/>
                                </a:schemeClr>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pic="http://schemas.openxmlformats.org/drawingml/2006/picture" xmlns:a="http://schemas.openxmlformats.org/drawingml/2006/main">
                <w:pict w14:anchorId="7D710203">
                  <v:line id="Straight Connector 1"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f5496 [2404]" strokeweight="1pt" from="-106.15pt,8.05pt" to="529.4pt,8.05pt" w14:anchorId="43B521D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">
                    <v:stroke joinstyle="miter" endcap="square"/>
                  </v:line>
                </w:pict>
              </mc:Fallback>
            </mc:AlternateContent>
          </w:r>
        </w:p>
      </w:tc>
      <w:tc>
        <w:tcPr>
          <w:tcW w:w="5439" w:type="dxa"/>
        </w:tcPr>
        <w:p w14:paraId="6D3BFE9F" w14:textId="77777777" w:rsidR="009C54C3" w:rsidRPr="00357476" w:rsidRDefault="009C54C3" w:rsidP="009C54C3">
          <w:pPr>
            <w:jc w:val="right"/>
            <w:rPr>
              <w:color w:val="1F3864" w:themeColor="accent1" w:themeShade="80"/>
            </w:rPr>
          </w:pPr>
          <w:r w:rsidRPr="00357476">
            <w:rPr>
              <w:color w:val="1F3864" w:themeColor="accent1" w:themeShade="80"/>
            </w:rPr>
            <w:t>Bedford College Academy Trust Managed Service Procurement</w:t>
          </w:r>
        </w:p>
      </w:tc>
    </w:tr>
  </w:tbl>
  <w:p w14:paraId="0923E7DB" w14:textId="2A4921E0" w:rsidR="004B1162" w:rsidRDefault="004B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4D09"/>
    <w:multiLevelType w:val="hybridMultilevel"/>
    <w:tmpl w:val="9EEA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24720"/>
    <w:multiLevelType w:val="multilevel"/>
    <w:tmpl w:val="C59201D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78"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933040"/>
    <w:multiLevelType w:val="multilevel"/>
    <w:tmpl w:val="11123C7A"/>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077" w:hanging="737"/>
      </w:pPr>
      <w:rPr>
        <w:rFonts w:hint="default"/>
      </w:rPr>
    </w:lvl>
    <w:lvl w:ilvl="2">
      <w:start w:val="1"/>
      <w:numFmt w:val="lowerLetter"/>
      <w:lvlText w:val="%3)"/>
      <w:lvlJc w:val="left"/>
      <w:pPr>
        <w:ind w:left="1778"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07438A"/>
    <w:multiLevelType w:val="hybridMultilevel"/>
    <w:tmpl w:val="9EEA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C6314"/>
    <w:multiLevelType w:val="hybridMultilevel"/>
    <w:tmpl w:val="88AC9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C2961"/>
    <w:multiLevelType w:val="multilevel"/>
    <w:tmpl w:val="C97E5AD2"/>
    <w:lvl w:ilvl="0">
      <w:start w:val="1"/>
      <w:numFmt w:val="decimal"/>
      <w:lvlText w:val="%1."/>
      <w:lvlJc w:val="left"/>
      <w:pPr>
        <w:ind w:left="170" w:hanging="40"/>
      </w:pPr>
      <w:rPr>
        <w:rFonts w:asciiTheme="minorHAnsi" w:hAnsiTheme="minorHAnsi" w:hint="default"/>
        <w:b/>
        <w:i w:val="0"/>
        <w:sz w:val="24"/>
      </w:rPr>
    </w:lvl>
    <w:lvl w:ilvl="1">
      <w:start w:val="1"/>
      <w:numFmt w:val="decimal"/>
      <w:lvlText w:val="%1.%2."/>
      <w:lvlJc w:val="left"/>
      <w:pPr>
        <w:ind w:left="1037" w:hanging="680"/>
      </w:pPr>
      <w:rPr>
        <w:rFonts w:asciiTheme="minorHAnsi" w:hAnsiTheme="minorHAnsi" w:hint="default"/>
        <w:b w:val="0"/>
        <w:i w:val="0"/>
        <w:color w:val="000000" w:themeColor="text1"/>
        <w:sz w:val="20"/>
      </w:rPr>
    </w:lvl>
    <w:lvl w:ilvl="2">
      <w:start w:val="1"/>
      <w:numFmt w:val="lowerLetter"/>
      <w:pStyle w:val="BodyText3"/>
      <w:lvlText w:val="%3)"/>
      <w:lvlJc w:val="left"/>
      <w:pPr>
        <w:ind w:left="1377" w:hanging="113"/>
      </w:pPr>
      <w:rPr>
        <w:rFonts w:asciiTheme="minorHAnsi" w:hAnsiTheme="minorHAnsi" w:hint="default"/>
        <w:b w:val="0"/>
        <w:i w:val="0"/>
        <w:sz w:val="20"/>
      </w:rPr>
    </w:lvl>
    <w:lvl w:ilvl="3">
      <w:start w:val="1"/>
      <w:numFmt w:val="decimal"/>
      <w:lvlText w:val="%1.%2.%3.%4"/>
      <w:lvlJc w:val="left"/>
      <w:pPr>
        <w:ind w:left="994" w:hanging="864"/>
      </w:pPr>
      <w:rPr>
        <w:rFonts w:hint="default"/>
      </w:rPr>
    </w:lvl>
    <w:lvl w:ilvl="4">
      <w:start w:val="1"/>
      <w:numFmt w:val="decimal"/>
      <w:lvlText w:val="%1.%2.%3.%4.%5"/>
      <w:lvlJc w:val="left"/>
      <w:pPr>
        <w:ind w:left="1138" w:hanging="1008"/>
      </w:pPr>
      <w:rPr>
        <w:rFonts w:hint="default"/>
      </w:rPr>
    </w:lvl>
    <w:lvl w:ilvl="5">
      <w:start w:val="1"/>
      <w:numFmt w:val="decimal"/>
      <w:lvlText w:val="%1.%2.%3.%4.%5.%6"/>
      <w:lvlJc w:val="left"/>
      <w:pPr>
        <w:ind w:left="1282" w:hanging="1152"/>
      </w:pPr>
      <w:rPr>
        <w:rFonts w:hint="default"/>
      </w:rPr>
    </w:lvl>
    <w:lvl w:ilvl="6">
      <w:start w:val="1"/>
      <w:numFmt w:val="decimal"/>
      <w:lvlText w:val="%1.%2.%3.%4.%5.%6.%7"/>
      <w:lvlJc w:val="left"/>
      <w:pPr>
        <w:ind w:left="1426" w:hanging="1296"/>
      </w:pPr>
      <w:rPr>
        <w:rFonts w:hint="default"/>
      </w:rPr>
    </w:lvl>
    <w:lvl w:ilvl="7">
      <w:start w:val="1"/>
      <w:numFmt w:val="decimal"/>
      <w:lvlText w:val="%1.%2.%3.%4.%5.%6.%7.%8"/>
      <w:lvlJc w:val="left"/>
      <w:pPr>
        <w:ind w:left="1570" w:hanging="1440"/>
      </w:pPr>
      <w:rPr>
        <w:rFonts w:hint="default"/>
      </w:rPr>
    </w:lvl>
    <w:lvl w:ilvl="8">
      <w:start w:val="1"/>
      <w:numFmt w:val="decimal"/>
      <w:lvlText w:val="%1.%2.%3.%4.%5.%6.%7.%8.%9"/>
      <w:lvlJc w:val="left"/>
      <w:pPr>
        <w:ind w:left="1714" w:hanging="1584"/>
      </w:pPr>
      <w:rPr>
        <w:rFonts w:hint="default"/>
      </w:rPr>
    </w:lvl>
  </w:abstractNum>
  <w:abstractNum w:abstractNumId="6" w15:restartNumberingAfterBreak="0">
    <w:nsid w:val="5D2E7820"/>
    <w:multiLevelType w:val="multilevel"/>
    <w:tmpl w:val="5D2E1E6A"/>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bullet"/>
      <w:lvlText w:val=""/>
      <w:lvlJc w:val="left"/>
      <w:pPr>
        <w:ind w:left="1778"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9156F6"/>
    <w:multiLevelType w:val="multilevel"/>
    <w:tmpl w:val="8972793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pStyle w:val="Level3"/>
      <w:lvlText w:val="%3)"/>
      <w:lvlJc w:val="left"/>
      <w:pPr>
        <w:ind w:left="1778"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6D1D12"/>
    <w:multiLevelType w:val="hybridMultilevel"/>
    <w:tmpl w:val="9EEA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882BF1"/>
    <w:multiLevelType w:val="hybridMultilevel"/>
    <w:tmpl w:val="9EEA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C7B87"/>
    <w:multiLevelType w:val="hybridMultilevel"/>
    <w:tmpl w:val="856A9BA0"/>
    <w:lvl w:ilvl="0" w:tplc="C90418AC">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16EAD"/>
    <w:multiLevelType w:val="multilevel"/>
    <w:tmpl w:val="454A94CC"/>
    <w:lvl w:ilvl="0">
      <w:start w:val="1"/>
      <w:numFmt w:val="bullet"/>
      <w:lvlText w:val=""/>
      <w:lvlJc w:val="left"/>
      <w:pPr>
        <w:ind w:left="1437" w:hanging="360"/>
      </w:pPr>
      <w:rPr>
        <w:rFonts w:ascii="Symbol" w:hAnsi="Symbol" w:hint="default"/>
      </w:rPr>
    </w:lvl>
    <w:lvl w:ilvl="1">
      <w:start w:val="1"/>
      <w:numFmt w:val="decimal"/>
      <w:lvlText w:val="%1.%2."/>
      <w:lvlJc w:val="left"/>
      <w:pPr>
        <w:ind w:left="2154" w:hanging="737"/>
      </w:pPr>
      <w:rPr>
        <w:rFonts w:hint="default"/>
      </w:rPr>
    </w:lvl>
    <w:lvl w:ilvl="2">
      <w:start w:val="1"/>
      <w:numFmt w:val="bullet"/>
      <w:lvlText w:val=""/>
      <w:lvlJc w:val="left"/>
      <w:pPr>
        <w:ind w:left="2855" w:hanging="360"/>
      </w:pPr>
      <w:rPr>
        <w:rFonts w:ascii="Symbol" w:hAnsi="Symbol" w:hint="default"/>
      </w:rPr>
    </w:lvl>
    <w:lvl w:ilvl="3">
      <w:start w:val="1"/>
      <w:numFmt w:val="decimal"/>
      <w:lvlText w:val="%1.%2.%3.%4."/>
      <w:lvlJc w:val="left"/>
      <w:pPr>
        <w:ind w:left="2805" w:hanging="648"/>
      </w:pPr>
      <w:rPr>
        <w:rFonts w:hint="default"/>
      </w:rPr>
    </w:lvl>
    <w:lvl w:ilvl="4">
      <w:start w:val="1"/>
      <w:numFmt w:val="decimal"/>
      <w:lvlText w:val="%1.%2.%3.%4.%5."/>
      <w:lvlJc w:val="left"/>
      <w:pPr>
        <w:ind w:left="3309" w:hanging="792"/>
      </w:pPr>
      <w:rPr>
        <w:rFonts w:hint="default"/>
      </w:rPr>
    </w:lvl>
    <w:lvl w:ilvl="5">
      <w:start w:val="1"/>
      <w:numFmt w:val="decimal"/>
      <w:lvlText w:val="%1.%2.%3.%4.%5.%6."/>
      <w:lvlJc w:val="left"/>
      <w:pPr>
        <w:ind w:left="3813" w:hanging="936"/>
      </w:pPr>
      <w:rPr>
        <w:rFonts w:hint="default"/>
      </w:rPr>
    </w:lvl>
    <w:lvl w:ilvl="6">
      <w:start w:val="1"/>
      <w:numFmt w:val="decimal"/>
      <w:lvlText w:val="%1.%2.%3.%4.%5.%6.%7."/>
      <w:lvlJc w:val="left"/>
      <w:pPr>
        <w:ind w:left="4317" w:hanging="1080"/>
      </w:pPr>
      <w:rPr>
        <w:rFonts w:hint="default"/>
      </w:rPr>
    </w:lvl>
    <w:lvl w:ilvl="7">
      <w:start w:val="1"/>
      <w:numFmt w:val="decimal"/>
      <w:lvlText w:val="%1.%2.%3.%4.%5.%6.%7.%8."/>
      <w:lvlJc w:val="left"/>
      <w:pPr>
        <w:ind w:left="4821" w:hanging="1224"/>
      </w:pPr>
      <w:rPr>
        <w:rFonts w:hint="default"/>
      </w:rPr>
    </w:lvl>
    <w:lvl w:ilvl="8">
      <w:start w:val="1"/>
      <w:numFmt w:val="decimal"/>
      <w:lvlText w:val="%1.%2.%3.%4.%5.%6.%7.%8.%9."/>
      <w:lvlJc w:val="left"/>
      <w:pPr>
        <w:ind w:left="5397" w:hanging="1440"/>
      </w:pPr>
      <w:rPr>
        <w:rFonts w:hint="default"/>
      </w:rPr>
    </w:lvl>
  </w:abstractNum>
  <w:num w:numId="1" w16cid:durableId="915633941">
    <w:abstractNumId w:val="7"/>
  </w:num>
  <w:num w:numId="2" w16cid:durableId="1403527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5478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9370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92478">
    <w:abstractNumId w:val="5"/>
  </w:num>
  <w:num w:numId="6" w16cid:durableId="1279141478">
    <w:abstractNumId w:val="1"/>
  </w:num>
  <w:num w:numId="7" w16cid:durableId="1737239439">
    <w:abstractNumId w:val="2"/>
  </w:num>
  <w:num w:numId="8" w16cid:durableId="653992468">
    <w:abstractNumId w:val="10"/>
  </w:num>
  <w:num w:numId="9" w16cid:durableId="1512644442">
    <w:abstractNumId w:val="6"/>
  </w:num>
  <w:num w:numId="10" w16cid:durableId="780105723">
    <w:abstractNumId w:val="11"/>
  </w:num>
  <w:num w:numId="11" w16cid:durableId="635061513">
    <w:abstractNumId w:val="4"/>
  </w:num>
  <w:num w:numId="12" w16cid:durableId="788427654">
    <w:abstractNumId w:val="3"/>
  </w:num>
  <w:num w:numId="13" w16cid:durableId="488639339">
    <w:abstractNumId w:val="8"/>
  </w:num>
  <w:num w:numId="14" w16cid:durableId="863711565">
    <w:abstractNumId w:val="9"/>
  </w:num>
  <w:num w:numId="15" w16cid:durableId="588270676">
    <w:abstractNumId w:val="0"/>
  </w:num>
  <w:num w:numId="16" w16cid:durableId="1291596445">
    <w:abstractNumId w:val="2"/>
  </w:num>
  <w:num w:numId="17" w16cid:durableId="1370692010">
    <w:abstractNumId w:val="2"/>
  </w:num>
  <w:num w:numId="18" w16cid:durableId="97338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D5"/>
    <w:rsid w:val="0000194C"/>
    <w:rsid w:val="00004FDA"/>
    <w:rsid w:val="00007098"/>
    <w:rsid w:val="00007C62"/>
    <w:rsid w:val="00010C19"/>
    <w:rsid w:val="00011FF2"/>
    <w:rsid w:val="00023189"/>
    <w:rsid w:val="00027102"/>
    <w:rsid w:val="00031F1F"/>
    <w:rsid w:val="00033C5B"/>
    <w:rsid w:val="00044F08"/>
    <w:rsid w:val="000520E6"/>
    <w:rsid w:val="00053054"/>
    <w:rsid w:val="000565D6"/>
    <w:rsid w:val="000665AF"/>
    <w:rsid w:val="00067A68"/>
    <w:rsid w:val="00071939"/>
    <w:rsid w:val="00076636"/>
    <w:rsid w:val="00081389"/>
    <w:rsid w:val="00090D2B"/>
    <w:rsid w:val="00094E48"/>
    <w:rsid w:val="000A4A18"/>
    <w:rsid w:val="000B1402"/>
    <w:rsid w:val="000C343B"/>
    <w:rsid w:val="000C49A1"/>
    <w:rsid w:val="000C6B22"/>
    <w:rsid w:val="000D0235"/>
    <w:rsid w:val="000E18B3"/>
    <w:rsid w:val="000E24F9"/>
    <w:rsid w:val="000E4024"/>
    <w:rsid w:val="000E6BD6"/>
    <w:rsid w:val="000E7FDE"/>
    <w:rsid w:val="000F5480"/>
    <w:rsid w:val="00102E6E"/>
    <w:rsid w:val="00104E52"/>
    <w:rsid w:val="001072A3"/>
    <w:rsid w:val="00112787"/>
    <w:rsid w:val="00114D3C"/>
    <w:rsid w:val="0012587C"/>
    <w:rsid w:val="001302A0"/>
    <w:rsid w:val="00133CC2"/>
    <w:rsid w:val="00142277"/>
    <w:rsid w:val="0014441F"/>
    <w:rsid w:val="00153C91"/>
    <w:rsid w:val="001574FC"/>
    <w:rsid w:val="00162246"/>
    <w:rsid w:val="00163221"/>
    <w:rsid w:val="00164E02"/>
    <w:rsid w:val="00164EC8"/>
    <w:rsid w:val="00172E0F"/>
    <w:rsid w:val="00181692"/>
    <w:rsid w:val="00183D5D"/>
    <w:rsid w:val="00194B2B"/>
    <w:rsid w:val="00195C9E"/>
    <w:rsid w:val="00196632"/>
    <w:rsid w:val="001A2D1A"/>
    <w:rsid w:val="001A3D00"/>
    <w:rsid w:val="001A4ADF"/>
    <w:rsid w:val="001C531D"/>
    <w:rsid w:val="001C58D0"/>
    <w:rsid w:val="001D4082"/>
    <w:rsid w:val="001F5DAD"/>
    <w:rsid w:val="00203650"/>
    <w:rsid w:val="0020588C"/>
    <w:rsid w:val="002062FD"/>
    <w:rsid w:val="00214597"/>
    <w:rsid w:val="00214E1C"/>
    <w:rsid w:val="00216F08"/>
    <w:rsid w:val="00217C44"/>
    <w:rsid w:val="00223709"/>
    <w:rsid w:val="002254F3"/>
    <w:rsid w:val="002436C0"/>
    <w:rsid w:val="00243A8C"/>
    <w:rsid w:val="00246DD5"/>
    <w:rsid w:val="002553D7"/>
    <w:rsid w:val="00257C30"/>
    <w:rsid w:val="0026337B"/>
    <w:rsid w:val="0026368D"/>
    <w:rsid w:val="00264D90"/>
    <w:rsid w:val="00265B03"/>
    <w:rsid w:val="00270678"/>
    <w:rsid w:val="002708CD"/>
    <w:rsid w:val="00272F7F"/>
    <w:rsid w:val="002806C5"/>
    <w:rsid w:val="00280FAE"/>
    <w:rsid w:val="00282B79"/>
    <w:rsid w:val="00284CFC"/>
    <w:rsid w:val="00285F44"/>
    <w:rsid w:val="002865B3"/>
    <w:rsid w:val="00290147"/>
    <w:rsid w:val="002913A4"/>
    <w:rsid w:val="0029557B"/>
    <w:rsid w:val="002A2793"/>
    <w:rsid w:val="002A444F"/>
    <w:rsid w:val="002B2AD2"/>
    <w:rsid w:val="002B4BED"/>
    <w:rsid w:val="002C0996"/>
    <w:rsid w:val="002C52DB"/>
    <w:rsid w:val="002C5913"/>
    <w:rsid w:val="002C7BE0"/>
    <w:rsid w:val="002D0D63"/>
    <w:rsid w:val="002D19F4"/>
    <w:rsid w:val="002D2D49"/>
    <w:rsid w:val="002E45C9"/>
    <w:rsid w:val="002E61FD"/>
    <w:rsid w:val="002E6AB8"/>
    <w:rsid w:val="002E6E18"/>
    <w:rsid w:val="002F50CB"/>
    <w:rsid w:val="0030553D"/>
    <w:rsid w:val="00306C9B"/>
    <w:rsid w:val="00316E99"/>
    <w:rsid w:val="0031714D"/>
    <w:rsid w:val="0033512A"/>
    <w:rsid w:val="003352D7"/>
    <w:rsid w:val="00336B48"/>
    <w:rsid w:val="0034252F"/>
    <w:rsid w:val="003504CF"/>
    <w:rsid w:val="0035385A"/>
    <w:rsid w:val="003605A6"/>
    <w:rsid w:val="00367075"/>
    <w:rsid w:val="003728EA"/>
    <w:rsid w:val="0037482D"/>
    <w:rsid w:val="00377AD8"/>
    <w:rsid w:val="0038027E"/>
    <w:rsid w:val="00382FC9"/>
    <w:rsid w:val="00384B26"/>
    <w:rsid w:val="00385DE9"/>
    <w:rsid w:val="00386E9B"/>
    <w:rsid w:val="00391076"/>
    <w:rsid w:val="0039635D"/>
    <w:rsid w:val="0039679F"/>
    <w:rsid w:val="0039786B"/>
    <w:rsid w:val="003A6C24"/>
    <w:rsid w:val="003B2EF6"/>
    <w:rsid w:val="003B5412"/>
    <w:rsid w:val="003B7745"/>
    <w:rsid w:val="003C34C8"/>
    <w:rsid w:val="003C6479"/>
    <w:rsid w:val="003D4B81"/>
    <w:rsid w:val="003E516D"/>
    <w:rsid w:val="003E534B"/>
    <w:rsid w:val="003E7CB7"/>
    <w:rsid w:val="003F4972"/>
    <w:rsid w:val="003F4CCA"/>
    <w:rsid w:val="0040090D"/>
    <w:rsid w:val="00403CEE"/>
    <w:rsid w:val="00405D95"/>
    <w:rsid w:val="0040773F"/>
    <w:rsid w:val="0041329F"/>
    <w:rsid w:val="004157DA"/>
    <w:rsid w:val="0041772B"/>
    <w:rsid w:val="00422389"/>
    <w:rsid w:val="00426311"/>
    <w:rsid w:val="004270BC"/>
    <w:rsid w:val="00427CDF"/>
    <w:rsid w:val="0043567C"/>
    <w:rsid w:val="004451D4"/>
    <w:rsid w:val="00446618"/>
    <w:rsid w:val="004518CC"/>
    <w:rsid w:val="00454169"/>
    <w:rsid w:val="00464DC1"/>
    <w:rsid w:val="004763A5"/>
    <w:rsid w:val="004776A4"/>
    <w:rsid w:val="00481EF1"/>
    <w:rsid w:val="00493952"/>
    <w:rsid w:val="004952E4"/>
    <w:rsid w:val="00496C1A"/>
    <w:rsid w:val="004A17C5"/>
    <w:rsid w:val="004B1162"/>
    <w:rsid w:val="004B36A0"/>
    <w:rsid w:val="004B4E70"/>
    <w:rsid w:val="004B56B4"/>
    <w:rsid w:val="004C3B79"/>
    <w:rsid w:val="004D2A54"/>
    <w:rsid w:val="004D7925"/>
    <w:rsid w:val="004E0806"/>
    <w:rsid w:val="004E5A00"/>
    <w:rsid w:val="004E7037"/>
    <w:rsid w:val="004F1D3D"/>
    <w:rsid w:val="004F4DBB"/>
    <w:rsid w:val="004F65E3"/>
    <w:rsid w:val="004F7D5C"/>
    <w:rsid w:val="005079FB"/>
    <w:rsid w:val="00513BF8"/>
    <w:rsid w:val="005303E5"/>
    <w:rsid w:val="005316CF"/>
    <w:rsid w:val="0054381F"/>
    <w:rsid w:val="00547526"/>
    <w:rsid w:val="0055064E"/>
    <w:rsid w:val="00552514"/>
    <w:rsid w:val="0055590F"/>
    <w:rsid w:val="00555C26"/>
    <w:rsid w:val="005845C9"/>
    <w:rsid w:val="00590164"/>
    <w:rsid w:val="00593E80"/>
    <w:rsid w:val="005A135F"/>
    <w:rsid w:val="005A275B"/>
    <w:rsid w:val="005B60C9"/>
    <w:rsid w:val="005C342F"/>
    <w:rsid w:val="005C437B"/>
    <w:rsid w:val="005D01A0"/>
    <w:rsid w:val="005D2719"/>
    <w:rsid w:val="005D3878"/>
    <w:rsid w:val="005E2CA1"/>
    <w:rsid w:val="005E3409"/>
    <w:rsid w:val="005E4A06"/>
    <w:rsid w:val="005E696D"/>
    <w:rsid w:val="005F447B"/>
    <w:rsid w:val="00600CAB"/>
    <w:rsid w:val="00603A19"/>
    <w:rsid w:val="00605CA9"/>
    <w:rsid w:val="00605DFA"/>
    <w:rsid w:val="006117B0"/>
    <w:rsid w:val="00614CF9"/>
    <w:rsid w:val="00615AB2"/>
    <w:rsid w:val="00622477"/>
    <w:rsid w:val="00643B85"/>
    <w:rsid w:val="0064690E"/>
    <w:rsid w:val="006578E4"/>
    <w:rsid w:val="00666901"/>
    <w:rsid w:val="006672D2"/>
    <w:rsid w:val="00667ADF"/>
    <w:rsid w:val="0067456A"/>
    <w:rsid w:val="006865F6"/>
    <w:rsid w:val="006966FA"/>
    <w:rsid w:val="006A0B8C"/>
    <w:rsid w:val="006B1BCD"/>
    <w:rsid w:val="006B4563"/>
    <w:rsid w:val="006B4978"/>
    <w:rsid w:val="006B4E35"/>
    <w:rsid w:val="006B6B7A"/>
    <w:rsid w:val="006C4B03"/>
    <w:rsid w:val="006D1D85"/>
    <w:rsid w:val="006D1E7D"/>
    <w:rsid w:val="006D3631"/>
    <w:rsid w:val="006F0FFA"/>
    <w:rsid w:val="006F2EC6"/>
    <w:rsid w:val="007054C2"/>
    <w:rsid w:val="0070594E"/>
    <w:rsid w:val="0070682D"/>
    <w:rsid w:val="0070725A"/>
    <w:rsid w:val="00712160"/>
    <w:rsid w:val="007148B1"/>
    <w:rsid w:val="00714D2A"/>
    <w:rsid w:val="00715C0E"/>
    <w:rsid w:val="0072029E"/>
    <w:rsid w:val="00720BDA"/>
    <w:rsid w:val="00723616"/>
    <w:rsid w:val="00724253"/>
    <w:rsid w:val="00733ACE"/>
    <w:rsid w:val="00734F6E"/>
    <w:rsid w:val="0073679A"/>
    <w:rsid w:val="00736999"/>
    <w:rsid w:val="00742275"/>
    <w:rsid w:val="00745E05"/>
    <w:rsid w:val="00750593"/>
    <w:rsid w:val="00753214"/>
    <w:rsid w:val="00770728"/>
    <w:rsid w:val="00773C33"/>
    <w:rsid w:val="00776B64"/>
    <w:rsid w:val="00777530"/>
    <w:rsid w:val="00780AC5"/>
    <w:rsid w:val="00783D9F"/>
    <w:rsid w:val="007A0E0A"/>
    <w:rsid w:val="007A3689"/>
    <w:rsid w:val="007A5683"/>
    <w:rsid w:val="007A6BB6"/>
    <w:rsid w:val="007B110A"/>
    <w:rsid w:val="007B20A1"/>
    <w:rsid w:val="007B5F23"/>
    <w:rsid w:val="007B60E7"/>
    <w:rsid w:val="007C024D"/>
    <w:rsid w:val="007C037B"/>
    <w:rsid w:val="007C16FA"/>
    <w:rsid w:val="007C3381"/>
    <w:rsid w:val="007D0AFC"/>
    <w:rsid w:val="007D0E99"/>
    <w:rsid w:val="007E28F7"/>
    <w:rsid w:val="007E358A"/>
    <w:rsid w:val="007E5798"/>
    <w:rsid w:val="007E5DBF"/>
    <w:rsid w:val="007F48AB"/>
    <w:rsid w:val="007F55F6"/>
    <w:rsid w:val="00805B36"/>
    <w:rsid w:val="008228FF"/>
    <w:rsid w:val="0082525B"/>
    <w:rsid w:val="0083182D"/>
    <w:rsid w:val="00834D48"/>
    <w:rsid w:val="00837AC9"/>
    <w:rsid w:val="0085658D"/>
    <w:rsid w:val="00866130"/>
    <w:rsid w:val="008664D5"/>
    <w:rsid w:val="0086652D"/>
    <w:rsid w:val="0087008B"/>
    <w:rsid w:val="00892A76"/>
    <w:rsid w:val="008A00DE"/>
    <w:rsid w:val="008A32D5"/>
    <w:rsid w:val="008B3A95"/>
    <w:rsid w:val="008B3B62"/>
    <w:rsid w:val="008B467A"/>
    <w:rsid w:val="008C0F0D"/>
    <w:rsid w:val="008C2AD9"/>
    <w:rsid w:val="008D146D"/>
    <w:rsid w:val="008F5619"/>
    <w:rsid w:val="008F6E37"/>
    <w:rsid w:val="00911710"/>
    <w:rsid w:val="00912741"/>
    <w:rsid w:val="00913A0C"/>
    <w:rsid w:val="00914C60"/>
    <w:rsid w:val="00922604"/>
    <w:rsid w:val="009242B7"/>
    <w:rsid w:val="009336AF"/>
    <w:rsid w:val="009347AB"/>
    <w:rsid w:val="009360A0"/>
    <w:rsid w:val="00944134"/>
    <w:rsid w:val="00955DB4"/>
    <w:rsid w:val="0097040B"/>
    <w:rsid w:val="00981D50"/>
    <w:rsid w:val="0098354A"/>
    <w:rsid w:val="0099430E"/>
    <w:rsid w:val="00995CC2"/>
    <w:rsid w:val="00996919"/>
    <w:rsid w:val="009A2CCD"/>
    <w:rsid w:val="009A4FDA"/>
    <w:rsid w:val="009A5D65"/>
    <w:rsid w:val="009A7889"/>
    <w:rsid w:val="009B34B6"/>
    <w:rsid w:val="009C2138"/>
    <w:rsid w:val="009C54C3"/>
    <w:rsid w:val="009C6110"/>
    <w:rsid w:val="009D0637"/>
    <w:rsid w:val="009E1124"/>
    <w:rsid w:val="009E431D"/>
    <w:rsid w:val="009E676B"/>
    <w:rsid w:val="009F397B"/>
    <w:rsid w:val="00A01460"/>
    <w:rsid w:val="00A046AB"/>
    <w:rsid w:val="00A04F1A"/>
    <w:rsid w:val="00A162F2"/>
    <w:rsid w:val="00A16B15"/>
    <w:rsid w:val="00A16D8E"/>
    <w:rsid w:val="00A20CCF"/>
    <w:rsid w:val="00A21077"/>
    <w:rsid w:val="00A217AF"/>
    <w:rsid w:val="00A228C9"/>
    <w:rsid w:val="00A25387"/>
    <w:rsid w:val="00A26420"/>
    <w:rsid w:val="00A33091"/>
    <w:rsid w:val="00A432E5"/>
    <w:rsid w:val="00A44A04"/>
    <w:rsid w:val="00A47553"/>
    <w:rsid w:val="00A513C6"/>
    <w:rsid w:val="00A52DB6"/>
    <w:rsid w:val="00A53260"/>
    <w:rsid w:val="00A5539A"/>
    <w:rsid w:val="00A6011D"/>
    <w:rsid w:val="00A63155"/>
    <w:rsid w:val="00A631AB"/>
    <w:rsid w:val="00A658F6"/>
    <w:rsid w:val="00A677CD"/>
    <w:rsid w:val="00A67E95"/>
    <w:rsid w:val="00A70646"/>
    <w:rsid w:val="00A74C44"/>
    <w:rsid w:val="00A7546C"/>
    <w:rsid w:val="00A76AB3"/>
    <w:rsid w:val="00A80068"/>
    <w:rsid w:val="00A80875"/>
    <w:rsid w:val="00A84594"/>
    <w:rsid w:val="00A9042B"/>
    <w:rsid w:val="00AA31DC"/>
    <w:rsid w:val="00AA6184"/>
    <w:rsid w:val="00AB181E"/>
    <w:rsid w:val="00AB6AE2"/>
    <w:rsid w:val="00AC1D3A"/>
    <w:rsid w:val="00AD19E9"/>
    <w:rsid w:val="00AD6035"/>
    <w:rsid w:val="00AE177A"/>
    <w:rsid w:val="00AF3899"/>
    <w:rsid w:val="00AF5E1A"/>
    <w:rsid w:val="00AF797D"/>
    <w:rsid w:val="00B02C6A"/>
    <w:rsid w:val="00B2046E"/>
    <w:rsid w:val="00B213D7"/>
    <w:rsid w:val="00B21BB9"/>
    <w:rsid w:val="00B23D98"/>
    <w:rsid w:val="00B2404C"/>
    <w:rsid w:val="00B242B8"/>
    <w:rsid w:val="00B27892"/>
    <w:rsid w:val="00B3196A"/>
    <w:rsid w:val="00B42243"/>
    <w:rsid w:val="00B424BA"/>
    <w:rsid w:val="00B4287B"/>
    <w:rsid w:val="00B433FE"/>
    <w:rsid w:val="00B46BB9"/>
    <w:rsid w:val="00B5151C"/>
    <w:rsid w:val="00B52E0B"/>
    <w:rsid w:val="00B55002"/>
    <w:rsid w:val="00B56E9B"/>
    <w:rsid w:val="00B62904"/>
    <w:rsid w:val="00B80385"/>
    <w:rsid w:val="00B96E07"/>
    <w:rsid w:val="00B96FA9"/>
    <w:rsid w:val="00BA0294"/>
    <w:rsid w:val="00BA6C95"/>
    <w:rsid w:val="00BA76BF"/>
    <w:rsid w:val="00BB0DBA"/>
    <w:rsid w:val="00BB2E96"/>
    <w:rsid w:val="00BC3E1A"/>
    <w:rsid w:val="00BC7812"/>
    <w:rsid w:val="00BD2E55"/>
    <w:rsid w:val="00BD4D09"/>
    <w:rsid w:val="00BD6E18"/>
    <w:rsid w:val="00BE0680"/>
    <w:rsid w:val="00BE25D5"/>
    <w:rsid w:val="00BE65E6"/>
    <w:rsid w:val="00BF1238"/>
    <w:rsid w:val="00C002A9"/>
    <w:rsid w:val="00C00906"/>
    <w:rsid w:val="00C0201E"/>
    <w:rsid w:val="00C045FB"/>
    <w:rsid w:val="00C054EC"/>
    <w:rsid w:val="00C060FC"/>
    <w:rsid w:val="00C06D2A"/>
    <w:rsid w:val="00C1239B"/>
    <w:rsid w:val="00C12FC1"/>
    <w:rsid w:val="00C158E7"/>
    <w:rsid w:val="00C2074B"/>
    <w:rsid w:val="00C221F9"/>
    <w:rsid w:val="00C23804"/>
    <w:rsid w:val="00C25205"/>
    <w:rsid w:val="00C33D31"/>
    <w:rsid w:val="00C43A60"/>
    <w:rsid w:val="00C56C6C"/>
    <w:rsid w:val="00C65EAC"/>
    <w:rsid w:val="00C73AE7"/>
    <w:rsid w:val="00C85E6D"/>
    <w:rsid w:val="00C90A1D"/>
    <w:rsid w:val="00C90A98"/>
    <w:rsid w:val="00C92AE3"/>
    <w:rsid w:val="00C92C54"/>
    <w:rsid w:val="00CA08C2"/>
    <w:rsid w:val="00CA7B00"/>
    <w:rsid w:val="00CB6687"/>
    <w:rsid w:val="00CC198A"/>
    <w:rsid w:val="00CC1A2D"/>
    <w:rsid w:val="00CC3CA3"/>
    <w:rsid w:val="00CD1C18"/>
    <w:rsid w:val="00CE0F99"/>
    <w:rsid w:val="00CE1880"/>
    <w:rsid w:val="00CE2EBB"/>
    <w:rsid w:val="00CF1517"/>
    <w:rsid w:val="00CF618B"/>
    <w:rsid w:val="00CF62C9"/>
    <w:rsid w:val="00CF6CBE"/>
    <w:rsid w:val="00D03249"/>
    <w:rsid w:val="00D03376"/>
    <w:rsid w:val="00D0616F"/>
    <w:rsid w:val="00D06F35"/>
    <w:rsid w:val="00D23EEA"/>
    <w:rsid w:val="00D23EF4"/>
    <w:rsid w:val="00D244E2"/>
    <w:rsid w:val="00D24C63"/>
    <w:rsid w:val="00D25DA9"/>
    <w:rsid w:val="00D274B7"/>
    <w:rsid w:val="00D275DB"/>
    <w:rsid w:val="00D446AE"/>
    <w:rsid w:val="00D469E6"/>
    <w:rsid w:val="00D62E6D"/>
    <w:rsid w:val="00D6353C"/>
    <w:rsid w:val="00D6409A"/>
    <w:rsid w:val="00D64F1C"/>
    <w:rsid w:val="00D72FB6"/>
    <w:rsid w:val="00D87E70"/>
    <w:rsid w:val="00D93243"/>
    <w:rsid w:val="00D9599B"/>
    <w:rsid w:val="00DA0103"/>
    <w:rsid w:val="00DA1687"/>
    <w:rsid w:val="00DA29D1"/>
    <w:rsid w:val="00DA2E2A"/>
    <w:rsid w:val="00DA4891"/>
    <w:rsid w:val="00DA67F3"/>
    <w:rsid w:val="00DB40CE"/>
    <w:rsid w:val="00DC2785"/>
    <w:rsid w:val="00DC3F88"/>
    <w:rsid w:val="00DC54CE"/>
    <w:rsid w:val="00DD08BB"/>
    <w:rsid w:val="00DD1A4F"/>
    <w:rsid w:val="00DD473A"/>
    <w:rsid w:val="00DE022A"/>
    <w:rsid w:val="00DE1DD0"/>
    <w:rsid w:val="00DE4583"/>
    <w:rsid w:val="00DE633C"/>
    <w:rsid w:val="00DF1DDE"/>
    <w:rsid w:val="00DF44D1"/>
    <w:rsid w:val="00E0119B"/>
    <w:rsid w:val="00E04163"/>
    <w:rsid w:val="00E0536B"/>
    <w:rsid w:val="00E1396F"/>
    <w:rsid w:val="00E149AC"/>
    <w:rsid w:val="00E20C9B"/>
    <w:rsid w:val="00E25995"/>
    <w:rsid w:val="00E35E7F"/>
    <w:rsid w:val="00E41D1E"/>
    <w:rsid w:val="00E41E6B"/>
    <w:rsid w:val="00E52299"/>
    <w:rsid w:val="00E52D64"/>
    <w:rsid w:val="00E5407C"/>
    <w:rsid w:val="00E54D97"/>
    <w:rsid w:val="00E62F3F"/>
    <w:rsid w:val="00E66177"/>
    <w:rsid w:val="00E70A09"/>
    <w:rsid w:val="00E713F8"/>
    <w:rsid w:val="00E812BC"/>
    <w:rsid w:val="00E81407"/>
    <w:rsid w:val="00E8319C"/>
    <w:rsid w:val="00E86DEB"/>
    <w:rsid w:val="00EA13F5"/>
    <w:rsid w:val="00EA23E8"/>
    <w:rsid w:val="00EB2E65"/>
    <w:rsid w:val="00EB5524"/>
    <w:rsid w:val="00EC4EF6"/>
    <w:rsid w:val="00EC6332"/>
    <w:rsid w:val="00ED5478"/>
    <w:rsid w:val="00ED6F6E"/>
    <w:rsid w:val="00ED72E1"/>
    <w:rsid w:val="00EE4346"/>
    <w:rsid w:val="00F01D02"/>
    <w:rsid w:val="00F071B9"/>
    <w:rsid w:val="00F10776"/>
    <w:rsid w:val="00F12078"/>
    <w:rsid w:val="00F1259A"/>
    <w:rsid w:val="00F162C5"/>
    <w:rsid w:val="00F16690"/>
    <w:rsid w:val="00F24C2A"/>
    <w:rsid w:val="00F2503C"/>
    <w:rsid w:val="00F2552D"/>
    <w:rsid w:val="00F25B97"/>
    <w:rsid w:val="00F32232"/>
    <w:rsid w:val="00F32842"/>
    <w:rsid w:val="00F342C4"/>
    <w:rsid w:val="00F377CC"/>
    <w:rsid w:val="00F409CD"/>
    <w:rsid w:val="00F46D57"/>
    <w:rsid w:val="00F52D75"/>
    <w:rsid w:val="00F54042"/>
    <w:rsid w:val="00F573CE"/>
    <w:rsid w:val="00F63B27"/>
    <w:rsid w:val="00F661F4"/>
    <w:rsid w:val="00F6758A"/>
    <w:rsid w:val="00F711DC"/>
    <w:rsid w:val="00F749BE"/>
    <w:rsid w:val="00F833A2"/>
    <w:rsid w:val="00F8371C"/>
    <w:rsid w:val="00F84B85"/>
    <w:rsid w:val="00F866DA"/>
    <w:rsid w:val="00F86704"/>
    <w:rsid w:val="00F900F8"/>
    <w:rsid w:val="00F94D2B"/>
    <w:rsid w:val="00F97421"/>
    <w:rsid w:val="00FA35D4"/>
    <w:rsid w:val="00FC072C"/>
    <w:rsid w:val="00FC3FF2"/>
    <w:rsid w:val="00FD1714"/>
    <w:rsid w:val="00FD410D"/>
    <w:rsid w:val="00FD56A4"/>
    <w:rsid w:val="00FE2A05"/>
    <w:rsid w:val="00FE4459"/>
    <w:rsid w:val="00FE477E"/>
    <w:rsid w:val="00FF4BAF"/>
    <w:rsid w:val="00FF4E19"/>
    <w:rsid w:val="00FF585E"/>
    <w:rsid w:val="00FF6AA0"/>
    <w:rsid w:val="0BC2685B"/>
    <w:rsid w:val="11FA29B8"/>
    <w:rsid w:val="14983C36"/>
    <w:rsid w:val="37E9CCD3"/>
    <w:rsid w:val="39859D34"/>
    <w:rsid w:val="43F203ED"/>
    <w:rsid w:val="54CD38CE"/>
    <w:rsid w:val="5649EC85"/>
    <w:rsid w:val="5ED74817"/>
    <w:rsid w:val="607C0C5C"/>
    <w:rsid w:val="62E68EB9"/>
    <w:rsid w:val="6B9A4C18"/>
    <w:rsid w:val="6F64D974"/>
    <w:rsid w:val="7D3DD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F0939"/>
  <w14:defaultImageDpi w14:val="32767"/>
  <w15:docId w15:val="{F46703CD-953F-EC42-A969-BE149A6C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F9"/>
    <w:rPr>
      <w:rFonts w:asciiTheme="minorHAnsi" w:eastAsia="Times New Roman" w:hAnsiTheme="minorHAnsi"/>
      <w:szCs w:val="24"/>
      <w:lang w:eastAsia="en-GB"/>
    </w:rPr>
  </w:style>
  <w:style w:type="paragraph" w:styleId="Heading1">
    <w:name w:val="heading 1"/>
    <w:basedOn w:val="Normal"/>
    <w:next w:val="Normal"/>
    <w:link w:val="Heading1Char"/>
    <w:qFormat/>
    <w:rsid w:val="00EB2E65"/>
    <w:pPr>
      <w:keepNext/>
      <w:keepLines/>
      <w:numPr>
        <w:numId w:val="6"/>
      </w:numPr>
      <w:spacing w:after="240"/>
      <w:outlineLvl w:val="0"/>
    </w:pPr>
    <w:rPr>
      <w:rFonts w:ascii="Arial" w:eastAsiaTheme="majorEastAsia" w:hAnsi="Arial" w:cs="Arial"/>
      <w:b/>
      <w:bCs/>
      <w:color w:val="2F5496" w:themeColor="accent1" w:themeShade="BF"/>
      <w:sz w:val="24"/>
    </w:rPr>
  </w:style>
  <w:style w:type="paragraph" w:styleId="Heading2">
    <w:name w:val="heading 2"/>
    <w:basedOn w:val="Normal"/>
    <w:next w:val="Normal"/>
    <w:link w:val="Heading2Char"/>
    <w:uiPriority w:val="9"/>
    <w:unhideWhenUsed/>
    <w:qFormat/>
    <w:rsid w:val="00DE45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65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665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652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65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652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65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65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EA13F5"/>
    <w:pPr>
      <w:tabs>
        <w:tab w:val="left" w:pos="993"/>
      </w:tabs>
      <w:spacing w:line="276" w:lineRule="auto"/>
      <w:ind w:left="1437"/>
      <w:outlineLvl w:val="1"/>
    </w:pPr>
    <w:rPr>
      <w:rFonts w:cstheme="minorHAnsi"/>
      <w:b/>
      <w:bCs/>
      <w:color w:val="FF0000"/>
    </w:rPr>
  </w:style>
  <w:style w:type="character" w:styleId="Hyperlink">
    <w:name w:val="Hyperlink"/>
    <w:basedOn w:val="DefaultParagraphFont"/>
    <w:uiPriority w:val="99"/>
    <w:unhideWhenUsed/>
    <w:rsid w:val="00DC2785"/>
    <w:rPr>
      <w:color w:val="0563C1" w:themeColor="hyperlink"/>
      <w:u w:val="single"/>
    </w:rPr>
  </w:style>
  <w:style w:type="paragraph" w:styleId="Header">
    <w:name w:val="header"/>
    <w:basedOn w:val="Normal"/>
    <w:link w:val="HeaderChar"/>
    <w:uiPriority w:val="99"/>
    <w:unhideWhenUsed/>
    <w:rsid w:val="0041329F"/>
    <w:pPr>
      <w:tabs>
        <w:tab w:val="center" w:pos="4513"/>
        <w:tab w:val="right" w:pos="9026"/>
      </w:tabs>
    </w:pPr>
  </w:style>
  <w:style w:type="character" w:customStyle="1" w:styleId="HeaderChar">
    <w:name w:val="Header Char"/>
    <w:basedOn w:val="DefaultParagraphFont"/>
    <w:link w:val="Header"/>
    <w:uiPriority w:val="99"/>
    <w:rsid w:val="0041329F"/>
  </w:style>
  <w:style w:type="paragraph" w:styleId="Footer">
    <w:name w:val="footer"/>
    <w:basedOn w:val="Normal"/>
    <w:link w:val="FooterChar"/>
    <w:uiPriority w:val="99"/>
    <w:unhideWhenUsed/>
    <w:rsid w:val="0041329F"/>
    <w:pPr>
      <w:tabs>
        <w:tab w:val="center" w:pos="4513"/>
        <w:tab w:val="right" w:pos="9026"/>
      </w:tabs>
    </w:pPr>
  </w:style>
  <w:style w:type="character" w:customStyle="1" w:styleId="FooterChar">
    <w:name w:val="Footer Char"/>
    <w:basedOn w:val="DefaultParagraphFont"/>
    <w:link w:val="Footer"/>
    <w:uiPriority w:val="99"/>
    <w:rsid w:val="0041329F"/>
  </w:style>
  <w:style w:type="character" w:styleId="PageNumber">
    <w:name w:val="page number"/>
    <w:basedOn w:val="DefaultParagraphFont"/>
    <w:uiPriority w:val="99"/>
    <w:semiHidden/>
    <w:unhideWhenUsed/>
    <w:rsid w:val="00E25995"/>
  </w:style>
  <w:style w:type="paragraph" w:customStyle="1" w:styleId="Body1">
    <w:name w:val="Body 1"/>
    <w:basedOn w:val="Normal"/>
    <w:uiPriority w:val="99"/>
    <w:rsid w:val="00D23EEA"/>
    <w:pPr>
      <w:adjustRightInd w:val="0"/>
      <w:spacing w:after="240" w:line="312" w:lineRule="auto"/>
      <w:ind w:left="851"/>
      <w:jc w:val="both"/>
      <w:textAlignment w:val="baseline"/>
    </w:pPr>
  </w:style>
  <w:style w:type="table" w:styleId="TableGrid">
    <w:name w:val="Table Grid"/>
    <w:basedOn w:val="TableNormal"/>
    <w:uiPriority w:val="39"/>
    <w:rsid w:val="00F16690"/>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6E18"/>
    <w:rPr>
      <w:color w:val="954F72" w:themeColor="followedHyperlink"/>
      <w:u w:val="single"/>
    </w:rPr>
  </w:style>
  <w:style w:type="paragraph" w:customStyle="1" w:styleId="Level1">
    <w:name w:val="Level 1"/>
    <w:basedOn w:val="Heading1"/>
    <w:autoRedefine/>
    <w:uiPriority w:val="99"/>
    <w:qFormat/>
    <w:rsid w:val="00AB6AE2"/>
    <w:pPr>
      <w:numPr>
        <w:numId w:val="7"/>
      </w:numPr>
    </w:pPr>
    <w:rPr>
      <w:rFonts w:asciiTheme="minorHAnsi" w:hAnsiTheme="minorHAnsi"/>
      <w:color w:val="1F2E6F"/>
      <w:szCs w:val="28"/>
    </w:rPr>
  </w:style>
  <w:style w:type="paragraph" w:customStyle="1" w:styleId="Level2">
    <w:name w:val="Level 2"/>
    <w:basedOn w:val="Normal"/>
    <w:autoRedefine/>
    <w:uiPriority w:val="99"/>
    <w:qFormat/>
    <w:rsid w:val="00AB6AE2"/>
    <w:pPr>
      <w:numPr>
        <w:ilvl w:val="1"/>
        <w:numId w:val="7"/>
      </w:numPr>
      <w:adjustRightInd w:val="0"/>
      <w:spacing w:after="200" w:line="276" w:lineRule="auto"/>
      <w:jc w:val="both"/>
      <w:textAlignment w:val="baseline"/>
      <w:outlineLvl w:val="1"/>
    </w:pPr>
    <w:rPr>
      <w:color w:val="000000" w:themeColor="text1"/>
      <w:szCs w:val="22"/>
    </w:rPr>
  </w:style>
  <w:style w:type="paragraph" w:customStyle="1" w:styleId="Level3">
    <w:name w:val="Level 3"/>
    <w:basedOn w:val="Normal"/>
    <w:uiPriority w:val="99"/>
    <w:qFormat/>
    <w:rsid w:val="00EB2E65"/>
    <w:pPr>
      <w:numPr>
        <w:ilvl w:val="2"/>
        <w:numId w:val="1"/>
      </w:numPr>
      <w:adjustRightInd w:val="0"/>
      <w:spacing w:after="240"/>
      <w:jc w:val="both"/>
      <w:textAlignment w:val="baseline"/>
      <w:outlineLvl w:val="2"/>
    </w:pPr>
    <w:rPr>
      <w:rFonts w:ascii="Calibri" w:hAnsi="Calibri"/>
      <w:szCs w:val="22"/>
    </w:rPr>
  </w:style>
  <w:style w:type="paragraph" w:customStyle="1" w:styleId="Level4">
    <w:name w:val="Level 4"/>
    <w:basedOn w:val="Normal"/>
    <w:uiPriority w:val="99"/>
    <w:qFormat/>
    <w:rsid w:val="005E3409"/>
    <w:pPr>
      <w:adjustRightInd w:val="0"/>
      <w:spacing w:after="240" w:line="312" w:lineRule="auto"/>
      <w:jc w:val="both"/>
      <w:textAlignment w:val="baseline"/>
      <w:outlineLvl w:val="3"/>
    </w:pPr>
    <w:rPr>
      <w:rFonts w:ascii="Arial" w:hAnsi="Arial"/>
    </w:rPr>
  </w:style>
  <w:style w:type="paragraph" w:customStyle="1" w:styleId="Level5">
    <w:name w:val="Level 5"/>
    <w:basedOn w:val="Normal"/>
    <w:uiPriority w:val="99"/>
    <w:qFormat/>
    <w:rsid w:val="005E3409"/>
    <w:pPr>
      <w:adjustRightInd w:val="0"/>
      <w:spacing w:after="240" w:line="312" w:lineRule="auto"/>
      <w:jc w:val="both"/>
      <w:textAlignment w:val="baseline"/>
      <w:outlineLvl w:val="4"/>
    </w:pPr>
    <w:rPr>
      <w:rFonts w:ascii="Arial" w:hAnsi="Arial"/>
    </w:rPr>
  </w:style>
  <w:style w:type="paragraph" w:styleId="BalloonText">
    <w:name w:val="Balloon Text"/>
    <w:basedOn w:val="Normal"/>
    <w:link w:val="BalloonTextChar"/>
    <w:uiPriority w:val="99"/>
    <w:semiHidden/>
    <w:unhideWhenUsed/>
    <w:rsid w:val="00783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9F"/>
    <w:rPr>
      <w:rFonts w:ascii="Segoe UI" w:hAnsi="Segoe UI" w:cs="Segoe UI"/>
      <w:sz w:val="18"/>
      <w:szCs w:val="18"/>
    </w:rPr>
  </w:style>
  <w:style w:type="paragraph" w:styleId="NormalWeb">
    <w:name w:val="Normal (Web)"/>
    <w:basedOn w:val="Normal"/>
    <w:uiPriority w:val="99"/>
    <w:semiHidden/>
    <w:unhideWhenUsed/>
    <w:rsid w:val="00BA6C95"/>
    <w:pPr>
      <w:spacing w:before="100" w:beforeAutospacing="1" w:after="100" w:afterAutospacing="1"/>
    </w:pPr>
    <w:rPr>
      <w:rFonts w:ascii="Times New Roman" w:hAnsi="Times New Roman"/>
    </w:rPr>
  </w:style>
  <w:style w:type="paragraph" w:styleId="NoSpacing">
    <w:name w:val="No Spacing"/>
    <w:link w:val="NoSpacingChar"/>
    <w:uiPriority w:val="1"/>
    <w:qFormat/>
    <w:rsid w:val="00BA6C95"/>
    <w:rPr>
      <w:rFonts w:eastAsiaTheme="minorEastAsia"/>
      <w:sz w:val="22"/>
      <w:szCs w:val="22"/>
      <w:lang w:val="en-US" w:eastAsia="zh-CN"/>
    </w:rPr>
  </w:style>
  <w:style w:type="character" w:customStyle="1" w:styleId="NoSpacingChar">
    <w:name w:val="No Spacing Char"/>
    <w:basedOn w:val="DefaultParagraphFont"/>
    <w:link w:val="NoSpacing"/>
    <w:uiPriority w:val="1"/>
    <w:rsid w:val="00BA6C95"/>
    <w:rPr>
      <w:rFonts w:eastAsiaTheme="minorEastAsia"/>
      <w:sz w:val="22"/>
      <w:szCs w:val="22"/>
      <w:lang w:val="en-US" w:eastAsia="zh-CN"/>
    </w:rPr>
  </w:style>
  <w:style w:type="paragraph" w:styleId="Index1">
    <w:name w:val="index 1"/>
    <w:basedOn w:val="Normal"/>
    <w:next w:val="Normal"/>
    <w:autoRedefine/>
    <w:uiPriority w:val="99"/>
    <w:unhideWhenUsed/>
    <w:rsid w:val="00DE4583"/>
    <w:pPr>
      <w:ind w:left="240" w:hanging="240"/>
    </w:pPr>
    <w:rPr>
      <w:rFonts w:cstheme="minorHAnsi"/>
      <w:sz w:val="18"/>
      <w:szCs w:val="18"/>
    </w:rPr>
  </w:style>
  <w:style w:type="paragraph" w:styleId="Index2">
    <w:name w:val="index 2"/>
    <w:basedOn w:val="Normal"/>
    <w:next w:val="Normal"/>
    <w:autoRedefine/>
    <w:uiPriority w:val="99"/>
    <w:unhideWhenUsed/>
    <w:rsid w:val="00DE4583"/>
    <w:pPr>
      <w:ind w:left="480" w:hanging="240"/>
    </w:pPr>
    <w:rPr>
      <w:rFonts w:cstheme="minorHAnsi"/>
      <w:sz w:val="18"/>
      <w:szCs w:val="18"/>
    </w:rPr>
  </w:style>
  <w:style w:type="paragraph" w:styleId="Index3">
    <w:name w:val="index 3"/>
    <w:basedOn w:val="Normal"/>
    <w:next w:val="Normal"/>
    <w:autoRedefine/>
    <w:uiPriority w:val="99"/>
    <w:unhideWhenUsed/>
    <w:rsid w:val="00DE4583"/>
    <w:pPr>
      <w:ind w:left="720" w:hanging="240"/>
    </w:pPr>
    <w:rPr>
      <w:rFonts w:cstheme="minorHAnsi"/>
      <w:sz w:val="18"/>
      <w:szCs w:val="18"/>
    </w:rPr>
  </w:style>
  <w:style w:type="paragraph" w:styleId="Index4">
    <w:name w:val="index 4"/>
    <w:basedOn w:val="Normal"/>
    <w:next w:val="Normal"/>
    <w:autoRedefine/>
    <w:uiPriority w:val="99"/>
    <w:unhideWhenUsed/>
    <w:rsid w:val="00DE4583"/>
    <w:pPr>
      <w:ind w:left="960" w:hanging="240"/>
    </w:pPr>
    <w:rPr>
      <w:rFonts w:cstheme="minorHAnsi"/>
      <w:sz w:val="18"/>
      <w:szCs w:val="18"/>
    </w:rPr>
  </w:style>
  <w:style w:type="paragraph" w:styleId="Index5">
    <w:name w:val="index 5"/>
    <w:basedOn w:val="Normal"/>
    <w:next w:val="Normal"/>
    <w:autoRedefine/>
    <w:uiPriority w:val="99"/>
    <w:unhideWhenUsed/>
    <w:rsid w:val="00DE4583"/>
    <w:pPr>
      <w:ind w:left="1200" w:hanging="240"/>
    </w:pPr>
    <w:rPr>
      <w:rFonts w:cstheme="minorHAnsi"/>
      <w:sz w:val="18"/>
      <w:szCs w:val="18"/>
    </w:rPr>
  </w:style>
  <w:style w:type="paragraph" w:styleId="Index6">
    <w:name w:val="index 6"/>
    <w:basedOn w:val="Normal"/>
    <w:next w:val="Normal"/>
    <w:autoRedefine/>
    <w:uiPriority w:val="99"/>
    <w:unhideWhenUsed/>
    <w:rsid w:val="00DE4583"/>
    <w:pPr>
      <w:ind w:left="1440" w:hanging="240"/>
    </w:pPr>
    <w:rPr>
      <w:rFonts w:cstheme="minorHAnsi"/>
      <w:sz w:val="18"/>
      <w:szCs w:val="18"/>
    </w:rPr>
  </w:style>
  <w:style w:type="paragraph" w:styleId="Index7">
    <w:name w:val="index 7"/>
    <w:basedOn w:val="Normal"/>
    <w:next w:val="Normal"/>
    <w:autoRedefine/>
    <w:uiPriority w:val="99"/>
    <w:unhideWhenUsed/>
    <w:rsid w:val="00DE4583"/>
    <w:pPr>
      <w:ind w:left="1680" w:hanging="240"/>
    </w:pPr>
    <w:rPr>
      <w:rFonts w:cstheme="minorHAnsi"/>
      <w:sz w:val="18"/>
      <w:szCs w:val="18"/>
    </w:rPr>
  </w:style>
  <w:style w:type="paragraph" w:styleId="Index8">
    <w:name w:val="index 8"/>
    <w:basedOn w:val="Normal"/>
    <w:next w:val="Normal"/>
    <w:autoRedefine/>
    <w:uiPriority w:val="99"/>
    <w:unhideWhenUsed/>
    <w:rsid w:val="00DE4583"/>
    <w:pPr>
      <w:ind w:left="1920" w:hanging="240"/>
    </w:pPr>
    <w:rPr>
      <w:rFonts w:cstheme="minorHAnsi"/>
      <w:sz w:val="18"/>
      <w:szCs w:val="18"/>
    </w:rPr>
  </w:style>
  <w:style w:type="paragraph" w:styleId="Index9">
    <w:name w:val="index 9"/>
    <w:basedOn w:val="Normal"/>
    <w:next w:val="Normal"/>
    <w:autoRedefine/>
    <w:uiPriority w:val="99"/>
    <w:unhideWhenUsed/>
    <w:rsid w:val="00DE4583"/>
    <w:pPr>
      <w:ind w:left="2160" w:hanging="240"/>
    </w:pPr>
    <w:rPr>
      <w:rFonts w:cstheme="minorHAnsi"/>
      <w:sz w:val="18"/>
      <w:szCs w:val="18"/>
    </w:rPr>
  </w:style>
  <w:style w:type="paragraph" w:styleId="IndexHeading">
    <w:name w:val="index heading"/>
    <w:basedOn w:val="Normal"/>
    <w:next w:val="Index1"/>
    <w:uiPriority w:val="99"/>
    <w:unhideWhenUsed/>
    <w:rsid w:val="00DE4583"/>
    <w:pPr>
      <w:spacing w:before="240" w:after="120"/>
      <w:jc w:val="center"/>
    </w:pPr>
    <w:rPr>
      <w:rFonts w:cstheme="minorHAnsi"/>
      <w:b/>
      <w:bCs/>
      <w:sz w:val="26"/>
      <w:szCs w:val="26"/>
    </w:rPr>
  </w:style>
  <w:style w:type="paragraph" w:styleId="TOC1">
    <w:name w:val="toc 1"/>
    <w:basedOn w:val="Level1"/>
    <w:next w:val="Normal"/>
    <w:autoRedefine/>
    <w:uiPriority w:val="39"/>
    <w:unhideWhenUsed/>
    <w:rsid w:val="00B55002"/>
    <w:pPr>
      <w:keepNext w:val="0"/>
      <w:keepLines w:val="0"/>
      <w:numPr>
        <w:numId w:val="0"/>
      </w:numPr>
      <w:spacing w:after="120"/>
      <w:outlineLvl w:val="9"/>
    </w:pPr>
    <w:rPr>
      <w:rFonts w:eastAsia="Times New Roman" w:cstheme="minorHAnsi"/>
      <w:b w:val="0"/>
      <w:color w:val="auto"/>
      <w:sz w:val="20"/>
      <w:szCs w:val="20"/>
    </w:rPr>
  </w:style>
  <w:style w:type="paragraph" w:styleId="TOC2">
    <w:name w:val="toc 2"/>
    <w:next w:val="Normal"/>
    <w:autoRedefine/>
    <w:uiPriority w:val="39"/>
    <w:unhideWhenUsed/>
    <w:rsid w:val="0055590F"/>
    <w:pPr>
      <w:spacing w:before="120" w:after="120"/>
      <w:ind w:left="454"/>
    </w:pPr>
    <w:rPr>
      <w:rFonts w:asciiTheme="minorHAnsi" w:eastAsia="Times New Roman" w:hAnsiTheme="minorHAnsi" w:cs="Calibri (Body)"/>
      <w:iCs/>
      <w:lang w:eastAsia="en-GB"/>
    </w:rPr>
  </w:style>
  <w:style w:type="paragraph" w:styleId="TOC3">
    <w:name w:val="toc 3"/>
    <w:next w:val="Normal"/>
    <w:autoRedefine/>
    <w:uiPriority w:val="39"/>
    <w:unhideWhenUsed/>
    <w:rsid w:val="00F54042"/>
    <w:pPr>
      <w:ind w:left="400"/>
    </w:pPr>
    <w:rPr>
      <w:rFonts w:asciiTheme="minorHAnsi" w:eastAsia="Times New Roman" w:hAnsiTheme="minorHAnsi" w:cstheme="minorHAnsi"/>
      <w:lang w:eastAsia="en-GB"/>
    </w:rPr>
  </w:style>
  <w:style w:type="paragraph" w:styleId="TOC4">
    <w:name w:val="toc 4"/>
    <w:next w:val="Normal"/>
    <w:autoRedefine/>
    <w:uiPriority w:val="39"/>
    <w:unhideWhenUsed/>
    <w:rsid w:val="00F54042"/>
    <w:pPr>
      <w:ind w:left="600"/>
    </w:pPr>
    <w:rPr>
      <w:rFonts w:asciiTheme="minorHAnsi" w:eastAsia="Times New Roman" w:hAnsiTheme="minorHAnsi" w:cstheme="minorHAnsi"/>
      <w:lang w:eastAsia="en-GB"/>
    </w:rPr>
  </w:style>
  <w:style w:type="paragraph" w:styleId="TOC5">
    <w:name w:val="toc 5"/>
    <w:next w:val="Normal"/>
    <w:autoRedefine/>
    <w:uiPriority w:val="39"/>
    <w:unhideWhenUsed/>
    <w:rsid w:val="00F54042"/>
    <w:pPr>
      <w:ind w:left="800"/>
    </w:pPr>
    <w:rPr>
      <w:rFonts w:asciiTheme="minorHAnsi" w:eastAsia="Times New Roman" w:hAnsiTheme="minorHAnsi" w:cstheme="minorHAnsi"/>
      <w:lang w:eastAsia="en-GB"/>
    </w:rPr>
  </w:style>
  <w:style w:type="paragraph" w:styleId="TOC6">
    <w:name w:val="toc 6"/>
    <w:next w:val="Normal"/>
    <w:autoRedefine/>
    <w:uiPriority w:val="39"/>
    <w:unhideWhenUsed/>
    <w:rsid w:val="00F54042"/>
    <w:pPr>
      <w:ind w:left="1000"/>
    </w:pPr>
    <w:rPr>
      <w:rFonts w:asciiTheme="minorHAnsi" w:eastAsia="Times New Roman" w:hAnsiTheme="minorHAnsi" w:cstheme="minorHAnsi"/>
      <w:lang w:eastAsia="en-GB"/>
    </w:rPr>
  </w:style>
  <w:style w:type="paragraph" w:styleId="TOC7">
    <w:name w:val="toc 7"/>
    <w:next w:val="Normal"/>
    <w:autoRedefine/>
    <w:uiPriority w:val="39"/>
    <w:unhideWhenUsed/>
    <w:rsid w:val="00F54042"/>
    <w:pPr>
      <w:ind w:left="1200"/>
    </w:pPr>
    <w:rPr>
      <w:rFonts w:asciiTheme="minorHAnsi" w:eastAsia="Times New Roman" w:hAnsiTheme="minorHAnsi" w:cstheme="minorHAnsi"/>
      <w:lang w:eastAsia="en-GB"/>
    </w:rPr>
  </w:style>
  <w:style w:type="paragraph" w:styleId="TOC8">
    <w:name w:val="toc 8"/>
    <w:next w:val="Normal"/>
    <w:autoRedefine/>
    <w:uiPriority w:val="39"/>
    <w:unhideWhenUsed/>
    <w:rsid w:val="00F54042"/>
    <w:pPr>
      <w:ind w:left="1400"/>
    </w:pPr>
    <w:rPr>
      <w:rFonts w:asciiTheme="minorHAnsi" w:eastAsia="Times New Roman" w:hAnsiTheme="minorHAnsi" w:cstheme="minorHAnsi"/>
      <w:lang w:eastAsia="en-GB"/>
    </w:rPr>
  </w:style>
  <w:style w:type="paragraph" w:styleId="TOC9">
    <w:name w:val="toc 9"/>
    <w:next w:val="Normal"/>
    <w:autoRedefine/>
    <w:uiPriority w:val="39"/>
    <w:unhideWhenUsed/>
    <w:rsid w:val="00F54042"/>
    <w:pPr>
      <w:ind w:left="1600"/>
    </w:pPr>
    <w:rPr>
      <w:rFonts w:asciiTheme="minorHAnsi" w:eastAsia="Times New Roman" w:hAnsiTheme="minorHAnsi" w:cstheme="minorHAnsi"/>
      <w:lang w:eastAsia="en-GB"/>
    </w:rPr>
  </w:style>
  <w:style w:type="character" w:customStyle="1" w:styleId="Heading1Char">
    <w:name w:val="Heading 1 Char"/>
    <w:basedOn w:val="DefaultParagraphFont"/>
    <w:link w:val="Heading1"/>
    <w:rsid w:val="00EB2E65"/>
    <w:rPr>
      <w:rFonts w:ascii="Arial" w:eastAsiaTheme="majorEastAsia" w:hAnsi="Arial" w:cs="Arial"/>
      <w:b/>
      <w:bCs/>
      <w:color w:val="2F5496" w:themeColor="accent1" w:themeShade="BF"/>
      <w:sz w:val="24"/>
      <w:szCs w:val="24"/>
      <w:lang w:eastAsia="en-GB"/>
    </w:rPr>
  </w:style>
  <w:style w:type="character" w:customStyle="1" w:styleId="Heading2Char">
    <w:name w:val="Heading 2 Char"/>
    <w:basedOn w:val="DefaultParagraphFont"/>
    <w:link w:val="Heading2"/>
    <w:uiPriority w:val="9"/>
    <w:rsid w:val="00DE458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11710"/>
    <w:rPr>
      <w:sz w:val="16"/>
      <w:szCs w:val="16"/>
    </w:rPr>
  </w:style>
  <w:style w:type="paragraph" w:styleId="CommentText">
    <w:name w:val="annotation text"/>
    <w:basedOn w:val="Normal"/>
    <w:link w:val="CommentTextChar"/>
    <w:uiPriority w:val="99"/>
    <w:semiHidden/>
    <w:unhideWhenUsed/>
    <w:rsid w:val="00911710"/>
  </w:style>
  <w:style w:type="character" w:customStyle="1" w:styleId="CommentTextChar">
    <w:name w:val="Comment Text Char"/>
    <w:basedOn w:val="DefaultParagraphFont"/>
    <w:link w:val="CommentText"/>
    <w:uiPriority w:val="99"/>
    <w:semiHidden/>
    <w:rsid w:val="00911710"/>
    <w:rPr>
      <w:sz w:val="20"/>
      <w:szCs w:val="20"/>
    </w:rPr>
  </w:style>
  <w:style w:type="paragraph" w:styleId="CommentSubject">
    <w:name w:val="annotation subject"/>
    <w:basedOn w:val="CommentText"/>
    <w:next w:val="CommentText"/>
    <w:link w:val="CommentSubjectChar"/>
    <w:uiPriority w:val="99"/>
    <w:semiHidden/>
    <w:unhideWhenUsed/>
    <w:rsid w:val="00911710"/>
    <w:rPr>
      <w:b/>
      <w:bCs/>
    </w:rPr>
  </w:style>
  <w:style w:type="character" w:customStyle="1" w:styleId="CommentSubjectChar">
    <w:name w:val="Comment Subject Char"/>
    <w:basedOn w:val="CommentTextChar"/>
    <w:link w:val="CommentSubject"/>
    <w:uiPriority w:val="99"/>
    <w:semiHidden/>
    <w:rsid w:val="00911710"/>
    <w:rPr>
      <w:b/>
      <w:bCs/>
      <w:sz w:val="20"/>
      <w:szCs w:val="20"/>
    </w:rPr>
  </w:style>
  <w:style w:type="character" w:styleId="UnresolvedMention">
    <w:name w:val="Unresolved Mention"/>
    <w:basedOn w:val="DefaultParagraphFont"/>
    <w:uiPriority w:val="99"/>
    <w:semiHidden/>
    <w:unhideWhenUsed/>
    <w:rsid w:val="005E3409"/>
    <w:rPr>
      <w:color w:val="605E5C"/>
      <w:shd w:val="clear" w:color="auto" w:fill="E1DFDD"/>
    </w:rPr>
  </w:style>
  <w:style w:type="paragraph" w:styleId="TOCHeading">
    <w:name w:val="TOC Heading"/>
    <w:basedOn w:val="Heading1"/>
    <w:next w:val="Normal"/>
    <w:uiPriority w:val="39"/>
    <w:unhideWhenUsed/>
    <w:qFormat/>
    <w:rsid w:val="00C00906"/>
    <w:pPr>
      <w:numPr>
        <w:numId w:val="0"/>
      </w:numPr>
      <w:spacing w:before="480" w:line="276" w:lineRule="auto"/>
      <w:outlineLvl w:val="9"/>
    </w:pPr>
    <w:rPr>
      <w:rFonts w:asciiTheme="majorHAnsi" w:hAnsiTheme="majorHAnsi" w:cstheme="majorBidi"/>
      <w:sz w:val="28"/>
      <w:szCs w:val="28"/>
      <w:lang w:val="en-US"/>
    </w:rPr>
  </w:style>
  <w:style w:type="character" w:customStyle="1" w:styleId="Heading3Char">
    <w:name w:val="Heading 3 Char"/>
    <w:basedOn w:val="DefaultParagraphFont"/>
    <w:link w:val="Heading3"/>
    <w:uiPriority w:val="9"/>
    <w:semiHidden/>
    <w:rsid w:val="0086652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665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65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652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652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65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652D"/>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34"/>
    <w:locked/>
    <w:rsid w:val="00EA13F5"/>
    <w:rPr>
      <w:rFonts w:asciiTheme="minorHAnsi" w:hAnsiTheme="minorHAnsi" w:cstheme="minorHAnsi"/>
      <w:b/>
      <w:bCs/>
      <w:color w:val="FF0000"/>
    </w:rPr>
  </w:style>
  <w:style w:type="character" w:customStyle="1" w:styleId="apple-converted-space">
    <w:name w:val="apple-converted-space"/>
    <w:basedOn w:val="DefaultParagraphFont"/>
    <w:rsid w:val="006F2EC6"/>
  </w:style>
  <w:style w:type="paragraph" w:styleId="Subtitle">
    <w:name w:val="Subtitle"/>
    <w:basedOn w:val="Normal"/>
    <w:next w:val="Normal"/>
    <w:link w:val="SubtitleChar"/>
    <w:uiPriority w:val="11"/>
    <w:qFormat/>
    <w:rsid w:val="00D23EE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23EEA"/>
    <w:rPr>
      <w:rFonts w:eastAsiaTheme="minorEastAsia"/>
      <w:color w:val="5A5A5A" w:themeColor="text1" w:themeTint="A5"/>
      <w:spacing w:val="15"/>
      <w:sz w:val="22"/>
      <w:szCs w:val="22"/>
    </w:rPr>
  </w:style>
  <w:style w:type="paragraph" w:styleId="Revision">
    <w:name w:val="Revision"/>
    <w:hidden/>
    <w:uiPriority w:val="99"/>
    <w:semiHidden/>
    <w:rsid w:val="003C34C8"/>
  </w:style>
  <w:style w:type="paragraph" w:styleId="BodyText3">
    <w:name w:val="Body Text 3"/>
    <w:basedOn w:val="Normal"/>
    <w:link w:val="BodyText3Char"/>
    <w:uiPriority w:val="99"/>
    <w:semiHidden/>
    <w:unhideWhenUsed/>
    <w:rsid w:val="007148B1"/>
    <w:pPr>
      <w:numPr>
        <w:ilvl w:val="2"/>
        <w:numId w:val="5"/>
      </w:numPr>
      <w:spacing w:after="120"/>
    </w:pPr>
    <w:rPr>
      <w:sz w:val="16"/>
      <w:szCs w:val="16"/>
    </w:rPr>
  </w:style>
  <w:style w:type="character" w:customStyle="1" w:styleId="BodyText3Char">
    <w:name w:val="Body Text 3 Char"/>
    <w:basedOn w:val="DefaultParagraphFont"/>
    <w:link w:val="BodyText3"/>
    <w:uiPriority w:val="99"/>
    <w:semiHidden/>
    <w:rsid w:val="007148B1"/>
    <w:rPr>
      <w:rFonts w:asciiTheme="minorHAnsi" w:eastAsia="Times New Roman" w:hAnsiTheme="minorHAnsi"/>
      <w:sz w:val="16"/>
      <w:szCs w:val="16"/>
      <w:lang w:eastAsia="en-GB"/>
    </w:rPr>
  </w:style>
  <w:style w:type="paragraph" w:customStyle="1" w:styleId="Bullets">
    <w:name w:val="Bullets"/>
    <w:basedOn w:val="Normal"/>
    <w:qFormat/>
    <w:rsid w:val="00172E0F"/>
    <w:pPr>
      <w:numPr>
        <w:numId w:val="8"/>
      </w:numPr>
    </w:pPr>
    <w:rPr>
      <w:rFonts w:ascii="Calibri Light" w:hAnsi="Calibri Light" w:cstheme="minorBidi"/>
    </w:rPr>
  </w:style>
  <w:style w:type="paragraph" w:styleId="Title">
    <w:name w:val="Title"/>
    <w:basedOn w:val="Normal"/>
    <w:next w:val="Normal"/>
    <w:link w:val="TitleChar"/>
    <w:uiPriority w:val="10"/>
    <w:qFormat/>
    <w:rsid w:val="00172E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E0F"/>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36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417">
      <w:bodyDiv w:val="1"/>
      <w:marLeft w:val="0"/>
      <w:marRight w:val="0"/>
      <w:marTop w:val="0"/>
      <w:marBottom w:val="0"/>
      <w:divBdr>
        <w:top w:val="none" w:sz="0" w:space="0" w:color="auto"/>
        <w:left w:val="none" w:sz="0" w:space="0" w:color="auto"/>
        <w:bottom w:val="none" w:sz="0" w:space="0" w:color="auto"/>
        <w:right w:val="none" w:sz="0" w:space="0" w:color="auto"/>
      </w:divBdr>
    </w:div>
    <w:div w:id="103884588">
      <w:bodyDiv w:val="1"/>
      <w:marLeft w:val="0"/>
      <w:marRight w:val="0"/>
      <w:marTop w:val="0"/>
      <w:marBottom w:val="0"/>
      <w:divBdr>
        <w:top w:val="none" w:sz="0" w:space="0" w:color="auto"/>
        <w:left w:val="none" w:sz="0" w:space="0" w:color="auto"/>
        <w:bottom w:val="none" w:sz="0" w:space="0" w:color="auto"/>
        <w:right w:val="none" w:sz="0" w:space="0" w:color="auto"/>
      </w:divBdr>
    </w:div>
    <w:div w:id="114107298">
      <w:bodyDiv w:val="1"/>
      <w:marLeft w:val="0"/>
      <w:marRight w:val="0"/>
      <w:marTop w:val="0"/>
      <w:marBottom w:val="0"/>
      <w:divBdr>
        <w:top w:val="none" w:sz="0" w:space="0" w:color="auto"/>
        <w:left w:val="none" w:sz="0" w:space="0" w:color="auto"/>
        <w:bottom w:val="none" w:sz="0" w:space="0" w:color="auto"/>
        <w:right w:val="none" w:sz="0" w:space="0" w:color="auto"/>
      </w:divBdr>
    </w:div>
    <w:div w:id="175728727">
      <w:bodyDiv w:val="1"/>
      <w:marLeft w:val="0"/>
      <w:marRight w:val="0"/>
      <w:marTop w:val="0"/>
      <w:marBottom w:val="0"/>
      <w:divBdr>
        <w:top w:val="none" w:sz="0" w:space="0" w:color="auto"/>
        <w:left w:val="none" w:sz="0" w:space="0" w:color="auto"/>
        <w:bottom w:val="none" w:sz="0" w:space="0" w:color="auto"/>
        <w:right w:val="none" w:sz="0" w:space="0" w:color="auto"/>
      </w:divBdr>
    </w:div>
    <w:div w:id="183640842">
      <w:bodyDiv w:val="1"/>
      <w:marLeft w:val="0"/>
      <w:marRight w:val="0"/>
      <w:marTop w:val="0"/>
      <w:marBottom w:val="0"/>
      <w:divBdr>
        <w:top w:val="none" w:sz="0" w:space="0" w:color="auto"/>
        <w:left w:val="none" w:sz="0" w:space="0" w:color="auto"/>
        <w:bottom w:val="none" w:sz="0" w:space="0" w:color="auto"/>
        <w:right w:val="none" w:sz="0" w:space="0" w:color="auto"/>
      </w:divBdr>
    </w:div>
    <w:div w:id="222251756">
      <w:bodyDiv w:val="1"/>
      <w:marLeft w:val="0"/>
      <w:marRight w:val="0"/>
      <w:marTop w:val="0"/>
      <w:marBottom w:val="0"/>
      <w:divBdr>
        <w:top w:val="none" w:sz="0" w:space="0" w:color="auto"/>
        <w:left w:val="none" w:sz="0" w:space="0" w:color="auto"/>
        <w:bottom w:val="none" w:sz="0" w:space="0" w:color="auto"/>
        <w:right w:val="none" w:sz="0" w:space="0" w:color="auto"/>
      </w:divBdr>
    </w:div>
    <w:div w:id="359014492">
      <w:bodyDiv w:val="1"/>
      <w:marLeft w:val="0"/>
      <w:marRight w:val="0"/>
      <w:marTop w:val="0"/>
      <w:marBottom w:val="0"/>
      <w:divBdr>
        <w:top w:val="none" w:sz="0" w:space="0" w:color="auto"/>
        <w:left w:val="none" w:sz="0" w:space="0" w:color="auto"/>
        <w:bottom w:val="none" w:sz="0" w:space="0" w:color="auto"/>
        <w:right w:val="none" w:sz="0" w:space="0" w:color="auto"/>
      </w:divBdr>
    </w:div>
    <w:div w:id="504855975">
      <w:bodyDiv w:val="1"/>
      <w:marLeft w:val="0"/>
      <w:marRight w:val="0"/>
      <w:marTop w:val="0"/>
      <w:marBottom w:val="0"/>
      <w:divBdr>
        <w:top w:val="none" w:sz="0" w:space="0" w:color="auto"/>
        <w:left w:val="none" w:sz="0" w:space="0" w:color="auto"/>
        <w:bottom w:val="none" w:sz="0" w:space="0" w:color="auto"/>
        <w:right w:val="none" w:sz="0" w:space="0" w:color="auto"/>
      </w:divBdr>
    </w:div>
    <w:div w:id="546601465">
      <w:bodyDiv w:val="1"/>
      <w:marLeft w:val="0"/>
      <w:marRight w:val="0"/>
      <w:marTop w:val="0"/>
      <w:marBottom w:val="0"/>
      <w:divBdr>
        <w:top w:val="none" w:sz="0" w:space="0" w:color="auto"/>
        <w:left w:val="none" w:sz="0" w:space="0" w:color="auto"/>
        <w:bottom w:val="none" w:sz="0" w:space="0" w:color="auto"/>
        <w:right w:val="none" w:sz="0" w:space="0" w:color="auto"/>
      </w:divBdr>
    </w:div>
    <w:div w:id="564993839">
      <w:bodyDiv w:val="1"/>
      <w:marLeft w:val="0"/>
      <w:marRight w:val="0"/>
      <w:marTop w:val="0"/>
      <w:marBottom w:val="0"/>
      <w:divBdr>
        <w:top w:val="none" w:sz="0" w:space="0" w:color="auto"/>
        <w:left w:val="none" w:sz="0" w:space="0" w:color="auto"/>
        <w:bottom w:val="none" w:sz="0" w:space="0" w:color="auto"/>
        <w:right w:val="none" w:sz="0" w:space="0" w:color="auto"/>
      </w:divBdr>
      <w:divsChild>
        <w:div w:id="1520317311">
          <w:marLeft w:val="360"/>
          <w:marRight w:val="0"/>
          <w:marTop w:val="0"/>
          <w:marBottom w:val="0"/>
          <w:divBdr>
            <w:top w:val="none" w:sz="0" w:space="0" w:color="auto"/>
            <w:left w:val="none" w:sz="0" w:space="0" w:color="auto"/>
            <w:bottom w:val="none" w:sz="0" w:space="0" w:color="auto"/>
            <w:right w:val="none" w:sz="0" w:space="0" w:color="auto"/>
          </w:divBdr>
        </w:div>
      </w:divsChild>
    </w:div>
    <w:div w:id="705713940">
      <w:bodyDiv w:val="1"/>
      <w:marLeft w:val="0"/>
      <w:marRight w:val="0"/>
      <w:marTop w:val="0"/>
      <w:marBottom w:val="0"/>
      <w:divBdr>
        <w:top w:val="none" w:sz="0" w:space="0" w:color="auto"/>
        <w:left w:val="none" w:sz="0" w:space="0" w:color="auto"/>
        <w:bottom w:val="none" w:sz="0" w:space="0" w:color="auto"/>
        <w:right w:val="none" w:sz="0" w:space="0" w:color="auto"/>
      </w:divBdr>
    </w:div>
    <w:div w:id="890850956">
      <w:bodyDiv w:val="1"/>
      <w:marLeft w:val="0"/>
      <w:marRight w:val="0"/>
      <w:marTop w:val="0"/>
      <w:marBottom w:val="0"/>
      <w:divBdr>
        <w:top w:val="none" w:sz="0" w:space="0" w:color="auto"/>
        <w:left w:val="none" w:sz="0" w:space="0" w:color="auto"/>
        <w:bottom w:val="none" w:sz="0" w:space="0" w:color="auto"/>
        <w:right w:val="none" w:sz="0" w:space="0" w:color="auto"/>
      </w:divBdr>
    </w:div>
    <w:div w:id="943151384">
      <w:bodyDiv w:val="1"/>
      <w:marLeft w:val="0"/>
      <w:marRight w:val="0"/>
      <w:marTop w:val="0"/>
      <w:marBottom w:val="0"/>
      <w:divBdr>
        <w:top w:val="none" w:sz="0" w:space="0" w:color="auto"/>
        <w:left w:val="none" w:sz="0" w:space="0" w:color="auto"/>
        <w:bottom w:val="none" w:sz="0" w:space="0" w:color="auto"/>
        <w:right w:val="none" w:sz="0" w:space="0" w:color="auto"/>
      </w:divBdr>
      <w:divsChild>
        <w:div w:id="931161577">
          <w:marLeft w:val="0"/>
          <w:marRight w:val="0"/>
          <w:marTop w:val="0"/>
          <w:marBottom w:val="0"/>
          <w:divBdr>
            <w:top w:val="none" w:sz="0" w:space="0" w:color="auto"/>
            <w:left w:val="none" w:sz="0" w:space="0" w:color="auto"/>
            <w:bottom w:val="none" w:sz="0" w:space="0" w:color="auto"/>
            <w:right w:val="none" w:sz="0" w:space="0" w:color="auto"/>
          </w:divBdr>
          <w:divsChild>
            <w:div w:id="862014270">
              <w:marLeft w:val="0"/>
              <w:marRight w:val="0"/>
              <w:marTop w:val="0"/>
              <w:marBottom w:val="0"/>
              <w:divBdr>
                <w:top w:val="none" w:sz="0" w:space="0" w:color="auto"/>
                <w:left w:val="none" w:sz="0" w:space="0" w:color="auto"/>
                <w:bottom w:val="none" w:sz="0" w:space="0" w:color="auto"/>
                <w:right w:val="none" w:sz="0" w:space="0" w:color="auto"/>
              </w:divBdr>
              <w:divsChild>
                <w:div w:id="4256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3239">
      <w:bodyDiv w:val="1"/>
      <w:marLeft w:val="0"/>
      <w:marRight w:val="0"/>
      <w:marTop w:val="0"/>
      <w:marBottom w:val="0"/>
      <w:divBdr>
        <w:top w:val="none" w:sz="0" w:space="0" w:color="auto"/>
        <w:left w:val="none" w:sz="0" w:space="0" w:color="auto"/>
        <w:bottom w:val="none" w:sz="0" w:space="0" w:color="auto"/>
        <w:right w:val="none" w:sz="0" w:space="0" w:color="auto"/>
      </w:divBdr>
    </w:div>
    <w:div w:id="1142387526">
      <w:bodyDiv w:val="1"/>
      <w:marLeft w:val="0"/>
      <w:marRight w:val="0"/>
      <w:marTop w:val="0"/>
      <w:marBottom w:val="0"/>
      <w:divBdr>
        <w:top w:val="none" w:sz="0" w:space="0" w:color="auto"/>
        <w:left w:val="none" w:sz="0" w:space="0" w:color="auto"/>
        <w:bottom w:val="none" w:sz="0" w:space="0" w:color="auto"/>
        <w:right w:val="none" w:sz="0" w:space="0" w:color="auto"/>
      </w:divBdr>
    </w:div>
    <w:div w:id="1182740535">
      <w:bodyDiv w:val="1"/>
      <w:marLeft w:val="0"/>
      <w:marRight w:val="0"/>
      <w:marTop w:val="0"/>
      <w:marBottom w:val="0"/>
      <w:divBdr>
        <w:top w:val="none" w:sz="0" w:space="0" w:color="auto"/>
        <w:left w:val="none" w:sz="0" w:space="0" w:color="auto"/>
        <w:bottom w:val="none" w:sz="0" w:space="0" w:color="auto"/>
        <w:right w:val="none" w:sz="0" w:space="0" w:color="auto"/>
      </w:divBdr>
    </w:div>
    <w:div w:id="1263106134">
      <w:bodyDiv w:val="1"/>
      <w:marLeft w:val="0"/>
      <w:marRight w:val="0"/>
      <w:marTop w:val="0"/>
      <w:marBottom w:val="0"/>
      <w:divBdr>
        <w:top w:val="none" w:sz="0" w:space="0" w:color="auto"/>
        <w:left w:val="none" w:sz="0" w:space="0" w:color="auto"/>
        <w:bottom w:val="none" w:sz="0" w:space="0" w:color="auto"/>
        <w:right w:val="none" w:sz="0" w:space="0" w:color="auto"/>
      </w:divBdr>
      <w:divsChild>
        <w:div w:id="682899762">
          <w:marLeft w:val="360"/>
          <w:marRight w:val="0"/>
          <w:marTop w:val="0"/>
          <w:marBottom w:val="0"/>
          <w:divBdr>
            <w:top w:val="none" w:sz="0" w:space="0" w:color="auto"/>
            <w:left w:val="none" w:sz="0" w:space="0" w:color="auto"/>
            <w:bottom w:val="none" w:sz="0" w:space="0" w:color="auto"/>
            <w:right w:val="none" w:sz="0" w:space="0" w:color="auto"/>
          </w:divBdr>
        </w:div>
      </w:divsChild>
    </w:div>
    <w:div w:id="1264613369">
      <w:bodyDiv w:val="1"/>
      <w:marLeft w:val="0"/>
      <w:marRight w:val="0"/>
      <w:marTop w:val="0"/>
      <w:marBottom w:val="0"/>
      <w:divBdr>
        <w:top w:val="none" w:sz="0" w:space="0" w:color="auto"/>
        <w:left w:val="none" w:sz="0" w:space="0" w:color="auto"/>
        <w:bottom w:val="none" w:sz="0" w:space="0" w:color="auto"/>
        <w:right w:val="none" w:sz="0" w:space="0" w:color="auto"/>
      </w:divBdr>
    </w:div>
    <w:div w:id="1487163041">
      <w:bodyDiv w:val="1"/>
      <w:marLeft w:val="0"/>
      <w:marRight w:val="0"/>
      <w:marTop w:val="0"/>
      <w:marBottom w:val="0"/>
      <w:divBdr>
        <w:top w:val="none" w:sz="0" w:space="0" w:color="auto"/>
        <w:left w:val="none" w:sz="0" w:space="0" w:color="auto"/>
        <w:bottom w:val="none" w:sz="0" w:space="0" w:color="auto"/>
        <w:right w:val="none" w:sz="0" w:space="0" w:color="auto"/>
      </w:divBdr>
    </w:div>
    <w:div w:id="1705137293">
      <w:bodyDiv w:val="1"/>
      <w:marLeft w:val="0"/>
      <w:marRight w:val="0"/>
      <w:marTop w:val="0"/>
      <w:marBottom w:val="0"/>
      <w:divBdr>
        <w:top w:val="none" w:sz="0" w:space="0" w:color="auto"/>
        <w:left w:val="none" w:sz="0" w:space="0" w:color="auto"/>
        <w:bottom w:val="none" w:sz="0" w:space="0" w:color="auto"/>
        <w:right w:val="none" w:sz="0" w:space="0" w:color="auto"/>
      </w:divBdr>
    </w:div>
    <w:div w:id="1777287354">
      <w:bodyDiv w:val="1"/>
      <w:marLeft w:val="0"/>
      <w:marRight w:val="0"/>
      <w:marTop w:val="0"/>
      <w:marBottom w:val="0"/>
      <w:divBdr>
        <w:top w:val="none" w:sz="0" w:space="0" w:color="auto"/>
        <w:left w:val="none" w:sz="0" w:space="0" w:color="auto"/>
        <w:bottom w:val="none" w:sz="0" w:space="0" w:color="auto"/>
        <w:right w:val="none" w:sz="0" w:space="0" w:color="auto"/>
      </w:divBdr>
    </w:div>
    <w:div w:id="1782147002">
      <w:bodyDiv w:val="1"/>
      <w:marLeft w:val="0"/>
      <w:marRight w:val="0"/>
      <w:marTop w:val="0"/>
      <w:marBottom w:val="0"/>
      <w:divBdr>
        <w:top w:val="none" w:sz="0" w:space="0" w:color="auto"/>
        <w:left w:val="none" w:sz="0" w:space="0" w:color="auto"/>
        <w:bottom w:val="none" w:sz="0" w:space="0" w:color="auto"/>
        <w:right w:val="none" w:sz="0" w:space="0" w:color="auto"/>
      </w:divBdr>
    </w:div>
    <w:div w:id="1808162007">
      <w:bodyDiv w:val="1"/>
      <w:marLeft w:val="0"/>
      <w:marRight w:val="0"/>
      <w:marTop w:val="0"/>
      <w:marBottom w:val="0"/>
      <w:divBdr>
        <w:top w:val="none" w:sz="0" w:space="0" w:color="auto"/>
        <w:left w:val="none" w:sz="0" w:space="0" w:color="auto"/>
        <w:bottom w:val="none" w:sz="0" w:space="0" w:color="auto"/>
        <w:right w:val="none" w:sz="0" w:space="0" w:color="auto"/>
      </w:divBdr>
    </w:div>
    <w:div w:id="2054229413">
      <w:bodyDiv w:val="1"/>
      <w:marLeft w:val="0"/>
      <w:marRight w:val="0"/>
      <w:marTop w:val="0"/>
      <w:marBottom w:val="0"/>
      <w:divBdr>
        <w:top w:val="none" w:sz="0" w:space="0" w:color="auto"/>
        <w:left w:val="none" w:sz="0" w:space="0" w:color="auto"/>
        <w:bottom w:val="none" w:sz="0" w:space="0" w:color="auto"/>
        <w:right w:val="none" w:sz="0" w:space="0" w:color="auto"/>
      </w:divBdr>
    </w:div>
    <w:div w:id="2063363448">
      <w:bodyDiv w:val="1"/>
      <w:marLeft w:val="0"/>
      <w:marRight w:val="0"/>
      <w:marTop w:val="0"/>
      <w:marBottom w:val="0"/>
      <w:divBdr>
        <w:top w:val="none" w:sz="0" w:space="0" w:color="auto"/>
        <w:left w:val="none" w:sz="0" w:space="0" w:color="auto"/>
        <w:bottom w:val="none" w:sz="0" w:space="0" w:color="auto"/>
        <w:right w:val="none" w:sz="0" w:space="0" w:color="auto"/>
      </w:divBdr>
      <w:divsChild>
        <w:div w:id="9935324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mple.uk" TargetMode="External"/><Relationship Id="rId18" Type="http://schemas.openxmlformats.org/officeDocument/2006/relationships/hyperlink" Target="https://cimple.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cimple.uk" TargetMode="External"/><Relationship Id="rId2" Type="http://schemas.openxmlformats.org/officeDocument/2006/relationships/customXml" Target="../customXml/item2.xml"/><Relationship Id="rId16" Type="http://schemas.openxmlformats.org/officeDocument/2006/relationships/hyperlink" Target="https://www.contractsfinder.service.gov.uk/Search" TargetMode="External"/><Relationship Id="rId20" Type="http://schemas.openxmlformats.org/officeDocument/2006/relationships/hyperlink" Target="https://cimpl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nd-tender.servic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platt@2psolution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mple.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0F4629FDA4A48813764E35922082B" ma:contentTypeVersion="2" ma:contentTypeDescription="Create a new document." ma:contentTypeScope="" ma:versionID="91f699d6ed938245cbeb76702717630f">
  <xsd:schema xmlns:xsd="http://www.w3.org/2001/XMLSchema" xmlns:xs="http://www.w3.org/2001/XMLSchema" xmlns:p="http://schemas.microsoft.com/office/2006/metadata/properties" xmlns:ns2="c053f188-66c5-4750-a32f-60509937c73c" targetNamespace="http://schemas.microsoft.com/office/2006/metadata/properties" ma:root="true" ma:fieldsID="d03597ef035a0bb4113c792ee27ab895" ns2:_="">
    <xsd:import namespace="c053f188-66c5-4750-a32f-60509937c7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3f188-66c5-4750-a32f-60509937c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798C-759A-40E3-ADA4-A7CF7C71C42E}">
  <ds:schemaRefs>
    <ds:schemaRef ds:uri="http://schemas.microsoft.com/office/2006/metadata/properties"/>
    <ds:schemaRef ds:uri="http://schemas.microsoft.com/office/infopath/2007/PartnerControls"/>
    <ds:schemaRef ds:uri="39e6a81e-b676-411c-80ba-5c7201defd7a"/>
    <ds:schemaRef ds:uri="a09d9dea-6969-4395-b0a8-94d219c4ba83"/>
  </ds:schemaRefs>
</ds:datastoreItem>
</file>

<file path=customXml/itemProps2.xml><?xml version="1.0" encoding="utf-8"?>
<ds:datastoreItem xmlns:ds="http://schemas.openxmlformats.org/officeDocument/2006/customXml" ds:itemID="{04D7974A-D195-4514-A98A-32DEE4EEBB1A}">
  <ds:schemaRefs>
    <ds:schemaRef ds:uri="http://schemas.microsoft.com/sharepoint/v3/contenttype/forms"/>
  </ds:schemaRefs>
</ds:datastoreItem>
</file>

<file path=customXml/itemProps3.xml><?xml version="1.0" encoding="utf-8"?>
<ds:datastoreItem xmlns:ds="http://schemas.openxmlformats.org/officeDocument/2006/customXml" ds:itemID="{3C929240-AA2D-47D2-AD42-6F4C8D88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3f188-66c5-4750-a32f-60509937c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DB84A-9147-0C47-99BF-76376DF2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enFrame EPC ITT Vol 1 - Instruction and Guidance for Tenderers v4 - Final</vt:lpstr>
    </vt:vector>
  </TitlesOfParts>
  <Manager/>
  <Company/>
  <LinksUpToDate>false</LinksUpToDate>
  <CharactersWithSpaces>30880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enFrame EPC ITT Vol 1 - Instruction and Guidance for Tenderers v4 - Final</dc:title>
  <dc:subject/>
  <dc:creator>enFrame CIC</dc:creator>
  <cp:keywords/>
  <dc:description/>
  <cp:lastModifiedBy>Eleanor Platt</cp:lastModifiedBy>
  <cp:revision>14</cp:revision>
  <cp:lastPrinted>2018-09-18T13:07:00Z</cp:lastPrinted>
  <dcterms:created xsi:type="dcterms:W3CDTF">2022-10-31T15:59:00Z</dcterms:created>
  <dcterms:modified xsi:type="dcterms:W3CDTF">2022-11-04T16:39:00Z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0x01010039C0F4629FDA4A48813764E35922082B</vt:lpwstr>
  </property>
  <property fmtid="{D5CDD505-2E9C-101B-9397-08002B2CF9AE}" pid="3" name="Order">
    <vt:r8>19500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